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both"/>
        <w:rPr>
          <w:rFonts w:hint="eastAsia" w:asciiTheme="minorEastAsia" w:hAnsiTheme="minorEastAsia" w:eastAsiaTheme="minorEastAsia" w:cstheme="minorEastAsia"/>
          <w:b/>
          <w:sz w:val="72"/>
          <w:szCs w:val="72"/>
          <w:lang w:eastAsia="zh-CN"/>
        </w:rPr>
      </w:pP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自</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行</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验</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收</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结</w:t>
      </w:r>
    </w:p>
    <w:p>
      <w:pPr>
        <w:snapToGrid w:val="0"/>
        <w:spacing w:after="156" w:afterLines="50" w:line="240" w:lineRule="auto"/>
        <w:jc w:val="center"/>
        <w:rPr>
          <w:rFonts w:hint="eastAsia" w:asciiTheme="minorEastAsia" w:hAnsiTheme="minorEastAsia" w:eastAsiaTheme="minorEastAsia" w:cstheme="minorEastAsia"/>
          <w:b/>
          <w:sz w:val="72"/>
          <w:szCs w:val="72"/>
          <w:lang w:eastAsia="zh-CN"/>
        </w:rPr>
      </w:pPr>
      <w:r>
        <w:rPr>
          <w:rFonts w:hint="eastAsia" w:asciiTheme="minorEastAsia" w:hAnsiTheme="minorEastAsia" w:eastAsiaTheme="minorEastAsia" w:cstheme="minorEastAsia"/>
          <w:b/>
          <w:sz w:val="72"/>
          <w:szCs w:val="72"/>
          <w:lang w:eastAsia="zh-CN"/>
        </w:rPr>
        <w:t>论</w:t>
      </w: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eastAsiaTheme="minorEastAsia" w:cstheme="minorEastAsia"/>
          <w:b/>
          <w:sz w:val="52"/>
          <w:szCs w:val="52"/>
          <w:lang w:eastAsia="zh-CN"/>
        </w:rPr>
      </w:pPr>
    </w:p>
    <w:p>
      <w:pPr>
        <w:snapToGrid w:val="0"/>
        <w:spacing w:after="156" w:afterLines="50" w:line="240" w:lineRule="auto"/>
        <w:jc w:val="center"/>
        <w:rPr>
          <w:rFonts w:hint="eastAsia" w:asciiTheme="minorEastAsia" w:hAnsiTheme="minorEastAsia" w:cstheme="minorEastAsia"/>
          <w:b/>
          <w:sz w:val="28"/>
          <w:szCs w:val="28"/>
          <w:lang w:val="en-US" w:eastAsia="zh-CN"/>
        </w:rPr>
      </w:pPr>
      <w:r>
        <w:rPr>
          <w:rFonts w:hint="eastAsia" w:asciiTheme="minorEastAsia" w:hAnsiTheme="minorEastAsia" w:cstheme="minorEastAsia"/>
          <w:b/>
          <w:sz w:val="28"/>
          <w:szCs w:val="28"/>
          <w:lang w:val="en-US" w:eastAsia="zh-CN"/>
        </w:rPr>
        <w:t>建设单位：四川现代岱摩斯汽车系统有限公司</w:t>
      </w:r>
    </w:p>
    <w:p>
      <w:pPr>
        <w:snapToGrid w:val="0"/>
        <w:spacing w:after="156" w:afterLines="50" w:line="240" w:lineRule="auto"/>
        <w:jc w:val="center"/>
        <w:rPr>
          <w:rFonts w:hint="eastAsia" w:asciiTheme="minorEastAsia" w:hAnsiTheme="minorEastAsia" w:cstheme="minorEastAsia"/>
          <w:b/>
          <w:sz w:val="28"/>
          <w:szCs w:val="28"/>
          <w:lang w:val="en-US" w:eastAsia="zh-CN"/>
        </w:rPr>
      </w:pP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br w:type="page"/>
      </w: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表一  基本信息</w:t>
      </w:r>
    </w:p>
    <w:tbl>
      <w:tblPr>
        <w:tblStyle w:val="10"/>
        <w:tblW w:w="904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77"/>
        <w:gridCol w:w="61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建设项目名称</w:t>
            </w:r>
            <w:r>
              <w:rPr>
                <w:rFonts w:hint="eastAsia" w:ascii="Times New Roman" w:hAnsi="Times New Roman" w:eastAsia="宋体"/>
                <w:sz w:val="24"/>
                <w:szCs w:val="24"/>
                <w:lang w:eastAsia="zh-CN"/>
              </w:rPr>
              <w:t>（验收名称）</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四川资阳汽车零部件生产基地项目（一期）车桥生产线项目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建设项目名称（环评批复）</w:t>
            </w:r>
          </w:p>
        </w:tc>
        <w:tc>
          <w:tcPr>
            <w:tcW w:w="6165"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lang w:eastAsia="zh-CN"/>
              </w:rPr>
              <w:t>四川资阳汽车零部件生产基地项目（一期）-车桥生产线项目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建设地点</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四川省资阳市资阳经济开发区城南工业集中发展区现代大道横二道路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建设项目性质（新建、改扩建、技术改造）</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jc w:val="center"/>
              <w:rPr>
                <w:rFonts w:hint="eastAsia" w:ascii="Times New Roman" w:hAnsi="Times New Roman" w:eastAsia="宋体"/>
                <w:sz w:val="24"/>
                <w:szCs w:val="24"/>
              </w:rPr>
            </w:pPr>
            <w:r>
              <w:rPr>
                <w:rFonts w:hint="eastAsia" w:ascii="Times New Roman" w:hAnsi="Times New Roman" w:eastAsia="宋体"/>
                <w:sz w:val="24"/>
                <w:szCs w:val="24"/>
              </w:rPr>
              <w:t>环境影响报告书（表）审批机关及批准文号、时间</w:t>
            </w:r>
          </w:p>
        </w:tc>
        <w:tc>
          <w:tcPr>
            <w:tcW w:w="6165" w:type="dxa"/>
            <w:vAlign w:val="center"/>
          </w:tcPr>
          <w:p>
            <w:pPr>
              <w:spacing w:line="240" w:lineRule="auto"/>
              <w:rPr>
                <w:rFonts w:hint="eastAsia" w:ascii="Times New Roman" w:hAnsi="Times New Roman" w:eastAsia="宋体"/>
                <w:sz w:val="24"/>
                <w:szCs w:val="24"/>
              </w:rPr>
            </w:pPr>
            <w:r>
              <w:rPr>
                <w:rFonts w:hint="eastAsia"/>
                <w:color w:val="000000"/>
                <w:sz w:val="24"/>
              </w:rPr>
              <w:t>资阳市环境保护局，资环建函</w:t>
            </w:r>
            <w:r>
              <w:rPr>
                <w:color w:val="000000"/>
                <w:sz w:val="24"/>
              </w:rPr>
              <w:t>﹝2014﹞</w:t>
            </w:r>
            <w:r>
              <w:rPr>
                <w:rFonts w:hint="eastAsia"/>
                <w:color w:val="000000"/>
                <w:sz w:val="24"/>
              </w:rPr>
              <w:t>182号，2014.9.16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审批、核准、备案机关及批准文号、时间</w:t>
            </w:r>
          </w:p>
        </w:tc>
        <w:tc>
          <w:tcPr>
            <w:tcW w:w="6165" w:type="dxa"/>
            <w:vAlign w:val="center"/>
          </w:tcPr>
          <w:p>
            <w:pPr>
              <w:spacing w:line="240" w:lineRule="auto"/>
              <w:rPr>
                <w:rFonts w:hint="eastAsia" w:ascii="Times New Roman" w:hAnsi="Times New Roman" w:eastAsia="宋体"/>
                <w:color w:val="FF0000"/>
                <w:sz w:val="24"/>
                <w:szCs w:val="24"/>
              </w:rPr>
            </w:pPr>
            <w:r>
              <w:rPr>
                <w:rFonts w:hint="eastAsia"/>
                <w:color w:val="000000"/>
                <w:sz w:val="24"/>
              </w:rPr>
              <w:t>资阳市发展和改革委员会，资发改发[2014]79号，2014.4.2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环境影响报告书(表)编制单位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color w:val="auto"/>
                <w:sz w:val="24"/>
                <w:szCs w:val="24"/>
              </w:rPr>
              <w:t>四川省国环环境工程咨询有限公司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项目设计单位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资阳世佳建筑设计有限公司、韩国韩泰尔设计院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项目施工单位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四川荣慧建设集团有限公司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环保验收调查单位或监测单位</w:t>
            </w:r>
          </w:p>
        </w:tc>
        <w:tc>
          <w:tcPr>
            <w:tcW w:w="6165" w:type="dxa"/>
            <w:vAlign w:val="center"/>
          </w:tcPr>
          <w:p>
            <w:pPr>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四川中衡检测技术有限公司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工程实际总投资（万元）</w:t>
            </w:r>
          </w:p>
        </w:tc>
        <w:tc>
          <w:tcPr>
            <w:tcW w:w="6165" w:type="dxa"/>
            <w:vAlign w:val="center"/>
          </w:tcPr>
          <w:p>
            <w:pPr>
              <w:snapToGrid w:val="0"/>
              <w:spacing w:line="240" w:lineRule="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6828.6元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rPr>
              <w:t>环保投资（万元）</w:t>
            </w:r>
          </w:p>
        </w:tc>
        <w:tc>
          <w:tcPr>
            <w:tcW w:w="6165" w:type="dxa"/>
            <w:vAlign w:val="center"/>
          </w:tcPr>
          <w:p>
            <w:pPr>
              <w:snapToGrid w:val="0"/>
              <w:spacing w:line="24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pacing w:val="-20"/>
                <w:sz w:val="24"/>
                <w:szCs w:val="24"/>
                <w:lang w:val="en-US" w:eastAsia="zh-CN"/>
              </w:rPr>
              <w:t>117 . 2</w:t>
            </w:r>
            <w:r>
              <w:rPr>
                <w:rFonts w:hint="eastAsia" w:ascii="Times New Roman" w:hAnsi="Times New Roman" w:eastAsia="宋体"/>
                <w:color w:val="auto"/>
                <w:spacing w:val="-20"/>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建设项目开工日期</w:t>
            </w:r>
          </w:p>
        </w:tc>
        <w:tc>
          <w:tcPr>
            <w:tcW w:w="6165"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color w:val="auto"/>
                <w:sz w:val="24"/>
                <w:szCs w:val="24"/>
              </w:rPr>
              <w:t>2013</w:t>
            </w:r>
            <w:r>
              <w:rPr>
                <w:rFonts w:ascii="Times New Roman" w:hAnsi="Times New Roman" w:eastAsia="宋体"/>
                <w:color w:val="auto"/>
                <w:sz w:val="24"/>
                <w:szCs w:val="24"/>
              </w:rPr>
              <w:t>年</w:t>
            </w:r>
            <w:r>
              <w:rPr>
                <w:rFonts w:hint="eastAsia" w:ascii="Times New Roman" w:hAnsi="Times New Roman" w:eastAsia="宋体"/>
                <w:color w:val="auto"/>
                <w:sz w:val="24"/>
                <w:szCs w:val="24"/>
              </w:rPr>
              <w:t>3</w:t>
            </w:r>
            <w:r>
              <w:rPr>
                <w:rFonts w:ascii="Times New Roman" w:hAnsi="Times New Roman" w:eastAsia="宋体"/>
                <w:color w:val="auto"/>
                <w:sz w:val="24"/>
                <w:szCs w:val="24"/>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2877" w:type="dxa"/>
            <w:vAlign w:val="center"/>
          </w:tcPr>
          <w:p>
            <w:pPr>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建设项目投入生产日期</w:t>
            </w:r>
          </w:p>
        </w:tc>
        <w:tc>
          <w:tcPr>
            <w:tcW w:w="6165" w:type="dxa"/>
            <w:vAlign w:val="center"/>
          </w:tcPr>
          <w:p>
            <w:pPr>
              <w:snapToGrid w:val="0"/>
              <w:spacing w:line="240" w:lineRule="auto"/>
              <w:rPr>
                <w:rFonts w:hint="eastAsia" w:ascii="Times New Roman" w:hAnsi="Times New Roman" w:eastAsia="宋体"/>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14</w:t>
            </w:r>
            <w:r>
              <w:rPr>
                <w:rFonts w:ascii="Times New Roman" w:hAnsi="Times New Roman" w:eastAsia="宋体"/>
                <w:color w:val="auto"/>
                <w:sz w:val="24"/>
                <w:szCs w:val="24"/>
              </w:rPr>
              <w:t>年</w:t>
            </w:r>
            <w:r>
              <w:rPr>
                <w:rFonts w:hint="eastAsia" w:ascii="Times New Roman" w:hAnsi="Times New Roman" w:eastAsia="宋体"/>
                <w:color w:val="auto"/>
                <w:sz w:val="24"/>
                <w:szCs w:val="24"/>
              </w:rPr>
              <w:t>5</w:t>
            </w:r>
            <w:r>
              <w:rPr>
                <w:rFonts w:ascii="Times New Roman" w:hAnsi="Times New Roman" w:eastAsia="宋体"/>
                <w:color w:val="auto"/>
                <w:sz w:val="24"/>
                <w:szCs w:val="24"/>
              </w:rPr>
              <w:t>月</w:t>
            </w:r>
          </w:p>
        </w:tc>
      </w:tr>
    </w:tbl>
    <w:p>
      <w:pPr>
        <w:snapToGrid w:val="0"/>
        <w:spacing w:after="156" w:afterLines="50"/>
        <w:jc w:val="center"/>
        <w:rPr>
          <w:rFonts w:hint="eastAsia" w:ascii="宋体"/>
          <w:b/>
          <w:color w:val="000000"/>
          <w:sz w:val="24"/>
        </w:rPr>
      </w:pPr>
      <w:r>
        <w:rPr>
          <w:rFonts w:ascii="宋体"/>
          <w:b/>
          <w:color w:val="000000"/>
          <w:sz w:val="24"/>
        </w:rPr>
        <w:br w:type="page"/>
      </w: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 xml:space="preserve">表二  </w:t>
      </w:r>
      <w:r>
        <w:rPr>
          <w:rFonts w:ascii="楷体_GB2312" w:eastAsia="楷体_GB2312"/>
          <w:b/>
          <w:sz w:val="30"/>
          <w:szCs w:val="30"/>
        </w:rPr>
        <w:t xml:space="preserve"> </w:t>
      </w:r>
      <w:r>
        <w:rPr>
          <w:rFonts w:hint="eastAsia" w:ascii="楷体_GB2312" w:eastAsia="楷体_GB2312"/>
          <w:b/>
          <w:sz w:val="30"/>
          <w:szCs w:val="30"/>
        </w:rPr>
        <w:t>环境保护执行情况</w:t>
      </w:r>
    </w:p>
    <w:tbl>
      <w:tblPr>
        <w:tblStyle w:val="10"/>
        <w:tblW w:w="8859"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3390"/>
        <w:gridCol w:w="3510"/>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59" w:type="dxa"/>
            <w:vAlign w:val="center"/>
          </w:tcPr>
          <w:p>
            <w:pPr>
              <w:adjustRightInd w:val="0"/>
              <w:snapToGrid w:val="0"/>
              <w:spacing w:line="240" w:lineRule="auto"/>
              <w:jc w:val="center"/>
              <w:rPr>
                <w:rFonts w:hint="eastAsia" w:ascii="Times New Roman" w:hAnsi="Times New Roman" w:eastAsia="宋体"/>
                <w:sz w:val="24"/>
                <w:szCs w:val="24"/>
              </w:rPr>
            </w:pPr>
          </w:p>
        </w:tc>
        <w:tc>
          <w:tcPr>
            <w:tcW w:w="339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pacing w:val="40"/>
                <w:sz w:val="24"/>
                <w:szCs w:val="24"/>
              </w:rPr>
              <w:t>环评及其批复情</w:t>
            </w:r>
            <w:r>
              <w:rPr>
                <w:rFonts w:hint="eastAsia" w:ascii="Times New Roman" w:hAnsi="Times New Roman" w:eastAsia="宋体"/>
                <w:b w:val="0"/>
                <w:bCs w:val="0"/>
                <w:sz w:val="24"/>
                <w:szCs w:val="24"/>
              </w:rPr>
              <w:t>况</w:t>
            </w:r>
          </w:p>
        </w:tc>
        <w:tc>
          <w:tcPr>
            <w:tcW w:w="351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pacing w:val="40"/>
                <w:sz w:val="24"/>
                <w:szCs w:val="24"/>
              </w:rPr>
              <w:t>实际执行情</w:t>
            </w:r>
            <w:r>
              <w:rPr>
                <w:rFonts w:hint="eastAsia" w:ascii="Times New Roman" w:hAnsi="Times New Roman" w:eastAsia="宋体"/>
                <w:b w:val="0"/>
                <w:bCs w:val="0"/>
                <w:sz w:val="24"/>
                <w:szCs w:val="24"/>
              </w:rPr>
              <w:t>况</w:t>
            </w:r>
          </w:p>
        </w:tc>
        <w:tc>
          <w:tcPr>
            <w:tcW w:w="700" w:type="dxa"/>
            <w:vAlign w:val="center"/>
          </w:tcPr>
          <w:p>
            <w:pPr>
              <w:adjustRightInd w:val="0"/>
              <w:snapToGrid w:val="0"/>
              <w:spacing w:line="240" w:lineRule="auto"/>
              <w:jc w:val="center"/>
              <w:rPr>
                <w:rFonts w:hint="eastAsia" w:ascii="Times New Roman" w:hAnsi="Times New Roman" w:eastAsia="宋体"/>
                <w:b w:val="0"/>
                <w:bCs w:val="0"/>
                <w:sz w:val="24"/>
                <w:szCs w:val="24"/>
              </w:rPr>
            </w:pPr>
            <w:r>
              <w:rPr>
                <w:rFonts w:hint="eastAsia" w:ascii="Times New Roman" w:hAnsi="Times New Roman" w:eastAsia="宋体"/>
                <w:b w:val="0"/>
                <w:bCs w:val="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295"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建设内容（地点、规模、性质等）</w:t>
            </w:r>
          </w:p>
        </w:tc>
        <w:tc>
          <w:tcPr>
            <w:tcW w:w="3390" w:type="dxa"/>
            <w:vAlign w:val="top"/>
          </w:tcPr>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建设内容：利用已建生产车间，安装</w:t>
            </w:r>
            <w:r>
              <w:rPr>
                <w:rFonts w:hint="eastAsia" w:ascii="Times New Roman" w:hAnsi="Times New Roman" w:eastAsia="宋体"/>
                <w:sz w:val="24"/>
                <w:szCs w:val="24"/>
                <w:lang w:val="en-US" w:eastAsia="zh-CN"/>
              </w:rPr>
              <w:t>1条前车桥生产线和3条后车桥生产线。新建废水处理站一座、活性炭吸附装置一套，采用水帘喷漆工艺。</w:t>
            </w:r>
          </w:p>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设计产量：年产前车桥50000台，后车桥50000台</w:t>
            </w:r>
          </w:p>
        </w:tc>
        <w:tc>
          <w:tcPr>
            <w:tcW w:w="3510" w:type="dxa"/>
            <w:vAlign w:val="top"/>
          </w:tcPr>
          <w:p>
            <w:pPr>
              <w:adjustRightInd w:val="0"/>
              <w:snapToGrid w:val="0"/>
              <w:spacing w:line="240" w:lineRule="auto"/>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建设内容：利用已建生产车间，安装一条前车桥生产线，1条商用后车桥生产线和2条乘用后车桥生产线。</w:t>
            </w:r>
            <w:r>
              <w:rPr>
                <w:rFonts w:hint="eastAsia" w:ascii="Times New Roman" w:hAnsi="Times New Roman" w:eastAsia="宋体"/>
                <w:sz w:val="24"/>
                <w:szCs w:val="24"/>
                <w:lang w:val="en-US" w:eastAsia="zh-CN"/>
              </w:rPr>
              <w:t>新建废水处理站一座、活性炭吸附装置两套，采用水帘喷漆工艺。</w:t>
            </w:r>
          </w:p>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lang w:eastAsia="zh-CN"/>
              </w:rPr>
              <w:t>实际产量：年产前车桥50000台、商用后车桥20000台、乘用后车桥280000台</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生态保护设施和措施</w:t>
            </w:r>
          </w:p>
        </w:tc>
        <w:tc>
          <w:tcPr>
            <w:tcW w:w="3390" w:type="dxa"/>
            <w:vAlign w:val="center"/>
          </w:tcPr>
          <w:p>
            <w:pPr>
              <w:adjustRightInd w:val="0"/>
              <w:snapToGrid w:val="0"/>
              <w:spacing w:line="240" w:lineRule="auto"/>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w:t>
            </w:r>
          </w:p>
        </w:tc>
        <w:tc>
          <w:tcPr>
            <w:tcW w:w="3510" w:type="dxa"/>
            <w:vAlign w:val="center"/>
          </w:tcPr>
          <w:p>
            <w:pPr>
              <w:adjustRightInd w:val="0"/>
              <w:snapToGrid w:val="0"/>
              <w:spacing w:line="240" w:lineRule="auto"/>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污染防治设施和措施</w:t>
            </w:r>
          </w:p>
        </w:tc>
        <w:tc>
          <w:tcPr>
            <w:tcW w:w="3390" w:type="dxa"/>
            <w:vAlign w:val="top"/>
          </w:tcPr>
          <w:p>
            <w:pPr>
              <w:adjustRightInd w:val="0"/>
              <w:snapToGrid w:val="0"/>
              <w:spacing w:line="240" w:lineRule="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1.严格按照环评要求落实环保措施，按照批准的环境影响报告表补建和完善大气、水污染治理措施。加强环保设施的管理和维护，确保环保设施的正常运行及大气、水污染物的稳定达标排放。</w:t>
            </w:r>
          </w:p>
          <w:p>
            <w:pPr>
              <w:widowControl/>
              <w:spacing w:line="240" w:lineRule="auto"/>
              <w:jc w:val="left"/>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2.严格项目管理，在水污染设施未建成前确保项目废水达到有效处置和达标排放，落实涂装工艺产生废气的污染防治措施。</w:t>
            </w:r>
          </w:p>
          <w:p>
            <w:pPr>
              <w:widowControl/>
              <w:spacing w:line="240" w:lineRule="auto"/>
              <w:jc w:val="left"/>
              <w:rPr>
                <w:rFonts w:hint="eastAsia" w:ascii="Times New Roman" w:hAnsi="Times New Roman" w:eastAsia="宋体"/>
                <w:sz w:val="24"/>
                <w:szCs w:val="24"/>
              </w:rPr>
            </w:pPr>
            <w:r>
              <w:rPr>
                <w:rFonts w:hint="eastAsia" w:ascii="Times New Roman" w:hAnsi="Times New Roman" w:eastAsia="宋体"/>
                <w:color w:val="auto"/>
                <w:sz w:val="24"/>
                <w:szCs w:val="24"/>
                <w:lang w:val="en-US" w:eastAsia="zh-CN"/>
              </w:rPr>
              <w:t>3.规范固体废物收贮、暂存管理，按照国家有关规定处置固体废弃物，油漆渣、废润滑油等危险废物须交由有资质单位处置。</w:t>
            </w:r>
          </w:p>
        </w:tc>
        <w:tc>
          <w:tcPr>
            <w:tcW w:w="3510" w:type="dxa"/>
            <w:vAlign w:val="top"/>
          </w:tcPr>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已落实。</w:t>
            </w:r>
          </w:p>
          <w:p>
            <w:pPr>
              <w:adjustRightInd w:val="0"/>
              <w:snapToGrid w:val="0"/>
              <w:spacing w:line="240" w:lineRule="auto"/>
              <w:rPr>
                <w:rFonts w:hint="eastAsia"/>
                <w:color w:val="000000"/>
                <w:sz w:val="24"/>
                <w:szCs w:val="24"/>
              </w:rPr>
            </w:pPr>
            <w:r>
              <w:rPr>
                <w:rFonts w:hint="eastAsia"/>
                <w:color w:val="000000"/>
                <w:sz w:val="24"/>
                <w:szCs w:val="24"/>
              </w:rPr>
              <w:t>本项目的备用发电机废气通过发电机自带的尾气处理设施处理后经排气管排入大气中。食堂油烟经2台油烟净化器处理后通过排气筒排放。</w:t>
            </w:r>
            <w:r>
              <w:rPr>
                <w:rFonts w:hint="eastAsia"/>
                <w:color w:val="auto"/>
                <w:sz w:val="24"/>
                <w:szCs w:val="24"/>
                <w:lang w:eastAsia="zh-CN"/>
              </w:rPr>
              <w:t>焊接烟尘经集气罩收集后通过管道（管道内设有风机）无组织排放</w:t>
            </w:r>
            <w:r>
              <w:rPr>
                <w:rFonts w:hint="eastAsia"/>
                <w:color w:val="auto"/>
                <w:sz w:val="24"/>
                <w:szCs w:val="24"/>
              </w:rPr>
              <w:t>。</w:t>
            </w:r>
            <w:r>
              <w:rPr>
                <w:rFonts w:hint="eastAsia"/>
                <w:color w:val="000000"/>
                <w:sz w:val="24"/>
                <w:szCs w:val="24"/>
              </w:rPr>
              <w:t>建有相应的《环境污染防治管理制度》和《环境污染防治责任制度》，生产废水经废水处理站处理后循环使用不外排。</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已落实。</w:t>
            </w:r>
          </w:p>
          <w:p>
            <w:pPr>
              <w:adjustRightInd w:val="0"/>
              <w:snapToGrid w:val="0"/>
              <w:spacing w:line="24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生产废水经废水处理站处理后循环使用不外排。食堂废水经隔油池处理后与办公生活污水一起进入预处理池处理后排入资阳市第二污水处理厂。食堂已安装2台油烟净化器，并设有排气筒。有机废气经集气管道收集后经涂装废气净化装置（活性炭吸附装置）处理后通过15m高排气筒排放。（其中前车桥生产线和商用后车桥生产线共用一套涂装废气净化装置，两条乘用后车桥生产线共用一套涂装废气净化装置）。焊接烟尘经集气罩收集后通过管道（管道内设有风机）无组织排放。</w:t>
            </w:r>
          </w:p>
          <w:p>
            <w:pPr>
              <w:adjustRightInd w:val="0"/>
              <w:snapToGrid w:val="0"/>
              <w:spacing w:line="24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已落实。</w:t>
            </w:r>
          </w:p>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规范了固体废物收贮、暂存管理，落实了危废暂存场地“三防措施”，按照国家有关规定处理处置固体废弃物。废粘合剂、</w:t>
            </w:r>
            <w:r>
              <w:rPr>
                <w:rFonts w:hint="eastAsia" w:ascii="Times New Roman" w:hAnsi="Times New Roman" w:eastAsia="宋体"/>
                <w:sz w:val="24"/>
                <w:szCs w:val="24"/>
                <w:lang w:eastAsia="zh-CN"/>
              </w:rPr>
              <w:t>防锈油废桶</w:t>
            </w:r>
            <w:r>
              <w:rPr>
                <w:rFonts w:hint="eastAsia" w:ascii="Times New Roman" w:hAnsi="Times New Roman" w:eastAsia="宋体"/>
                <w:sz w:val="24"/>
                <w:szCs w:val="24"/>
              </w:rPr>
              <w:t>、含油棉纱和抹布、</w:t>
            </w:r>
            <w:r>
              <w:rPr>
                <w:rFonts w:hint="eastAsia" w:ascii="Times New Roman" w:hAnsi="Times New Roman" w:eastAsia="宋体"/>
                <w:sz w:val="24"/>
                <w:szCs w:val="24"/>
                <w:lang w:eastAsia="zh-CN"/>
              </w:rPr>
              <w:t>油漆渣</w:t>
            </w:r>
            <w:r>
              <w:rPr>
                <w:rFonts w:hint="eastAsia" w:ascii="Times New Roman" w:hAnsi="Times New Roman" w:eastAsia="宋体"/>
                <w:sz w:val="24"/>
                <w:szCs w:val="24"/>
              </w:rPr>
              <w:t>、废化学品空桶和废活性炭等危险废物送由四川中明环境治理有限公司统一处理。</w:t>
            </w:r>
          </w:p>
        </w:tc>
        <w:tc>
          <w:tcPr>
            <w:tcW w:w="700" w:type="dxa"/>
            <w:vAlign w:val="top"/>
          </w:tcPr>
          <w:p>
            <w:pPr>
              <w:adjustRightInd w:val="0"/>
              <w:snapToGrid w:val="0"/>
              <w:spacing w:line="240" w:lineRule="auto"/>
              <w:rPr>
                <w:rFonts w:hint="eastAsia" w:ascii="Times New Roman" w:hAnsi="Times New Roman"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1259" w:type="dxa"/>
            <w:vAlign w:val="center"/>
          </w:tcPr>
          <w:p>
            <w:pPr>
              <w:adjustRightInd w:val="0"/>
              <w:snapToGrid w:val="0"/>
              <w:spacing w:line="240" w:lineRule="auto"/>
              <w:rPr>
                <w:rFonts w:hint="eastAsia" w:ascii="Times New Roman" w:hAnsi="Times New Roman" w:eastAsia="宋体"/>
                <w:sz w:val="24"/>
                <w:szCs w:val="24"/>
              </w:rPr>
            </w:pPr>
            <w:r>
              <w:rPr>
                <w:rFonts w:hint="eastAsia" w:ascii="Times New Roman" w:hAnsi="Times New Roman" w:eastAsia="宋体"/>
                <w:sz w:val="24"/>
                <w:szCs w:val="24"/>
              </w:rPr>
              <w:t>其他相关环保要求</w:t>
            </w:r>
          </w:p>
        </w:tc>
        <w:tc>
          <w:tcPr>
            <w:tcW w:w="3390" w:type="dxa"/>
            <w:vAlign w:val="center"/>
          </w:tcPr>
          <w:p>
            <w:pPr>
              <w:adjustRightInd w:val="0"/>
              <w:snapToGrid w:val="0"/>
              <w:spacing w:line="240" w:lineRule="auto"/>
              <w:jc w:val="left"/>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制定和完善环境风险应急预案，加强环境应急管理，落实风险防范措施。</w:t>
            </w:r>
          </w:p>
        </w:tc>
        <w:tc>
          <w:tcPr>
            <w:tcW w:w="3510" w:type="dxa"/>
            <w:vAlign w:val="center"/>
          </w:tcPr>
          <w:p>
            <w:pPr>
              <w:adjustRightInd w:val="0"/>
              <w:snapToGrid w:val="0"/>
              <w:spacing w:line="240" w:lineRule="auto"/>
              <w:jc w:val="center"/>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制定有突发环境事件应急预案、《环境污染防治管理制度》和《环境污染防治责任制度》。</w:t>
            </w:r>
          </w:p>
        </w:tc>
        <w:tc>
          <w:tcPr>
            <w:tcW w:w="700" w:type="dxa"/>
            <w:vAlign w:val="top"/>
          </w:tcPr>
          <w:p>
            <w:pPr>
              <w:adjustRightInd w:val="0"/>
              <w:snapToGrid w:val="0"/>
              <w:spacing w:line="240" w:lineRule="auto"/>
              <w:rPr>
                <w:rFonts w:hint="eastAsia" w:ascii="Times New Roman" w:hAnsi="Times New Roman" w:eastAsia="宋体"/>
                <w:sz w:val="24"/>
                <w:szCs w:val="24"/>
              </w:rPr>
            </w:pPr>
          </w:p>
        </w:tc>
      </w:tr>
    </w:tbl>
    <w:p>
      <w:pPr>
        <w:jc w:val="both"/>
        <w:rPr>
          <w:rFonts w:hint="eastAsia"/>
          <w:b/>
          <w:bCs/>
          <w:color w:val="auto"/>
          <w:sz w:val="32"/>
          <w:szCs w:val="32"/>
          <w:vertAlign w:val="baseline"/>
          <w:lang w:eastAsia="zh-CN"/>
        </w:rPr>
      </w:pPr>
    </w:p>
    <w:p>
      <w:pPr>
        <w:snapToGrid w:val="0"/>
        <w:spacing w:after="156" w:afterLines="50" w:line="240" w:lineRule="auto"/>
        <w:jc w:val="center"/>
        <w:rPr>
          <w:rFonts w:hint="eastAsia" w:ascii="楷体_GB2312" w:eastAsia="楷体_GB2312"/>
          <w:b/>
          <w:sz w:val="30"/>
          <w:szCs w:val="30"/>
        </w:rPr>
        <w:sectPr>
          <w:pgSz w:w="11906" w:h="16838"/>
          <w:pgMar w:top="1417" w:right="1417" w:bottom="1417" w:left="1417" w:header="851" w:footer="992" w:gutter="0"/>
          <w:pgBorders>
            <w:top w:val="none" w:sz="0" w:space="0"/>
            <w:left w:val="none" w:sz="0" w:space="0"/>
            <w:bottom w:val="none" w:sz="0" w:space="0"/>
            <w:right w:val="none" w:sz="0" w:space="0"/>
          </w:pgBorders>
          <w:cols w:space="0" w:num="1"/>
          <w:rtlGutter w:val="0"/>
          <w:docGrid w:type="lines" w:linePitch="389" w:charSpace="0"/>
        </w:sectPr>
      </w:pPr>
    </w:p>
    <w:p>
      <w:pPr>
        <w:snapToGrid w:val="0"/>
        <w:spacing w:after="156" w:afterLines="50" w:line="240" w:lineRule="auto"/>
        <w:jc w:val="center"/>
        <w:rPr>
          <w:rFonts w:hint="eastAsia" w:ascii="楷体_GB2312" w:eastAsia="楷体_GB2312"/>
          <w:b/>
          <w:sz w:val="30"/>
          <w:szCs w:val="30"/>
        </w:rPr>
      </w:pPr>
      <w:r>
        <w:rPr>
          <w:rFonts w:hint="eastAsia" w:ascii="楷体_GB2312" w:eastAsia="楷体_GB2312"/>
          <w:b/>
          <w:sz w:val="30"/>
          <w:szCs w:val="30"/>
        </w:rPr>
        <w:t xml:space="preserve">表三  </w:t>
      </w:r>
      <w:r>
        <w:rPr>
          <w:rFonts w:ascii="楷体_GB2312" w:eastAsia="楷体_GB2312"/>
          <w:b/>
          <w:sz w:val="30"/>
          <w:szCs w:val="30"/>
        </w:rPr>
        <w:t xml:space="preserve"> </w:t>
      </w:r>
      <w:r>
        <w:rPr>
          <w:rFonts w:hint="eastAsia" w:ascii="楷体_GB2312" w:eastAsia="楷体_GB2312"/>
          <w:b/>
          <w:sz w:val="30"/>
          <w:szCs w:val="30"/>
        </w:rPr>
        <w:t>验收组意见</w:t>
      </w:r>
    </w:p>
    <w:tbl>
      <w:tblPr>
        <w:tblStyle w:val="10"/>
        <w:tblW w:w="8881" w:type="dxa"/>
        <w:jc w:val="center"/>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81"/>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11726" w:hRule="atLeast"/>
          <w:jc w:val="center"/>
        </w:trPr>
        <w:tc>
          <w:tcPr>
            <w:tcW w:w="8881" w:type="dxa"/>
            <w:vAlign w:val="top"/>
          </w:tcPr>
          <w:p>
            <w:pPr>
              <w:jc w:val="center"/>
              <w:rPr>
                <w:rFonts w:hint="eastAsia" w:ascii="Times New Roman" w:hAnsi="Times New Roman"/>
                <w:b w:val="0"/>
                <w:bCs w:val="0"/>
                <w:sz w:val="28"/>
                <w:szCs w:val="28"/>
                <w:vertAlign w:val="baseline"/>
                <w:lang w:val="en-US" w:eastAsia="zh-CN"/>
              </w:rPr>
            </w:pPr>
            <w:r>
              <w:rPr>
                <w:rFonts w:hint="eastAsia"/>
                <w:b/>
                <w:bCs/>
                <w:color w:val="auto"/>
                <w:sz w:val="32"/>
                <w:szCs w:val="32"/>
                <w:vertAlign w:val="baseline"/>
                <w:lang w:eastAsia="zh-CN"/>
              </w:rPr>
              <w:t>“四川资阳汽车零部件生产基地项目（一期）</w:t>
            </w:r>
            <w:r>
              <w:rPr>
                <w:rFonts w:hint="eastAsia"/>
                <w:b/>
                <w:bCs/>
                <w:color w:val="auto"/>
                <w:sz w:val="32"/>
                <w:szCs w:val="32"/>
                <w:vertAlign w:val="baseline"/>
                <w:lang w:val="en-US" w:eastAsia="zh-CN"/>
              </w:rPr>
              <w:t>-车桥生产线</w:t>
            </w:r>
            <w:r>
              <w:rPr>
                <w:rFonts w:hint="eastAsia"/>
                <w:b/>
                <w:bCs/>
                <w:color w:val="auto"/>
                <w:sz w:val="32"/>
                <w:szCs w:val="32"/>
                <w:vertAlign w:val="baseline"/>
                <w:lang w:eastAsia="zh-CN"/>
              </w:rPr>
              <w:t>”建设项目竣工环境保护验收意见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b w:val="0"/>
                <w:bCs w:val="0"/>
                <w:sz w:val="24"/>
                <w:szCs w:val="24"/>
                <w:vertAlign w:val="baseline"/>
                <w:lang w:val="en-US" w:eastAsia="zh-CN"/>
              </w:rPr>
            </w:pPr>
            <w:r>
              <w:rPr>
                <w:rFonts w:hint="eastAsia" w:ascii="Times New Roman" w:hAnsi="Times New Roman"/>
                <w:b w:val="0"/>
                <w:bCs w:val="0"/>
                <w:sz w:val="24"/>
                <w:szCs w:val="24"/>
                <w:vertAlign w:val="baseline"/>
                <w:lang w:val="en-US" w:eastAsia="zh-CN"/>
              </w:rPr>
              <w:t>2017年10月30日，四川现代岱摩斯汽车系统有限公司组织召开了“四川资阳汽车零部件生产基地项目（一期）-车桥生产线”建设项目竣工环境保护验收现场检查会。验收小组由建设单位（四川现代岱摩斯汽车系统有限公司）、监测单位（四川中衡检测技术有限公司）、工程施工单位（</w:t>
            </w:r>
            <w:r>
              <w:rPr>
                <w:rFonts w:hint="eastAsia" w:ascii="Times New Roman" w:hAnsi="Times New Roman" w:eastAsia="宋体"/>
                <w:sz w:val="24"/>
                <w:szCs w:val="24"/>
                <w:lang w:eastAsia="zh-CN"/>
              </w:rPr>
              <w:t>四川荣慧建设集团有限公司</w:t>
            </w:r>
            <w:r>
              <w:rPr>
                <w:rFonts w:hint="eastAsia" w:ascii="Times New Roman" w:hAnsi="Times New Roman"/>
                <w:b w:val="0"/>
                <w:bCs w:val="0"/>
                <w:sz w:val="24"/>
                <w:szCs w:val="24"/>
                <w:vertAlign w:val="baseline"/>
                <w:lang w:val="en-US" w:eastAsia="zh-CN"/>
              </w:rPr>
              <w:t>），并特邀3名专家（黄彬、廖泽军、吴莎）组成。（签到表和审查意见附后）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b w:val="0"/>
                <w:bCs w:val="0"/>
                <w:sz w:val="24"/>
                <w:szCs w:val="24"/>
                <w:vertAlign w:val="baseline"/>
                <w:lang w:val="en-US" w:eastAsia="zh-CN"/>
              </w:rPr>
            </w:pPr>
            <w:r>
              <w:rPr>
                <w:rFonts w:hint="eastAsia" w:ascii="Times New Roman" w:hAnsi="Times New Roman"/>
                <w:b w:val="0"/>
                <w:bCs w:val="0"/>
                <w:sz w:val="24"/>
                <w:szCs w:val="24"/>
                <w:vertAlign w:val="baseline"/>
                <w:lang w:val="en-US" w:eastAsia="zh-CN"/>
              </w:rPr>
              <w:t>验收小组现场查阅并核实了本项目建设运营期环保工作落实情况。经认真研究讨论形成检查意见，根据《建设项目环境保护管理条例》以及企业自行验收相关要求，现将本项目验收意见公示如下：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82" w:firstLineChars="200"/>
              <w:jc w:val="left"/>
              <w:textAlignment w:val="auto"/>
              <w:outlineLvl w:val="9"/>
              <w:rPr>
                <w:rFonts w:hint="eastAsia"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项目基本情况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eastAsia="宋体"/>
                <w:sz w:val="24"/>
                <w:szCs w:val="24"/>
              </w:rPr>
              <w:t>四川现代岱摩斯汽车系统有限公司选址于</w:t>
            </w:r>
            <w:r>
              <w:rPr>
                <w:rFonts w:ascii="Times New Roman" w:hAnsi="Times New Roman" w:eastAsia="宋体"/>
                <w:sz w:val="24"/>
                <w:szCs w:val="24"/>
              </w:rPr>
              <w:t>四川省资阳市资阳经济开发区城南工业集中发展区现代大道横</w:t>
            </w:r>
            <w:r>
              <w:rPr>
                <w:rFonts w:hint="eastAsia" w:ascii="Times New Roman" w:hAnsi="Times New Roman" w:eastAsia="宋体"/>
                <w:sz w:val="24"/>
                <w:szCs w:val="24"/>
              </w:rPr>
              <w:t>二道路</w:t>
            </w:r>
            <w:r>
              <w:rPr>
                <w:rFonts w:hint="eastAsia" w:ascii="Times New Roman" w:hAnsi="Times New Roman" w:eastAsia="宋体"/>
                <w:sz w:val="24"/>
                <w:szCs w:val="24"/>
                <w:lang w:eastAsia="zh-CN"/>
              </w:rPr>
              <w:t>。</w:t>
            </w:r>
            <w:r>
              <w:rPr>
                <w:rFonts w:hint="eastAsia" w:ascii="Times New Roman" w:hAnsi="Times New Roman" w:eastAsia="宋体"/>
                <w:sz w:val="24"/>
                <w:szCs w:val="24"/>
              </w:rPr>
              <w:t>主要建设</w:t>
            </w:r>
            <w:r>
              <w:rPr>
                <w:rFonts w:hint="eastAsia" w:ascii="Times New Roman" w:hAnsi="Times New Roman" w:eastAsia="宋体"/>
                <w:sz w:val="24"/>
                <w:szCs w:val="24"/>
                <w:lang w:eastAsia="zh-CN"/>
              </w:rPr>
              <w:t>：利用已建生产车间，安装一条前车桥生产线，1条商用后车桥生产线和2条乘用后车桥生产线。</w:t>
            </w:r>
            <w:r>
              <w:rPr>
                <w:rFonts w:hint="eastAsia" w:ascii="Times New Roman" w:hAnsi="Times New Roman" w:eastAsia="宋体"/>
                <w:sz w:val="24"/>
                <w:szCs w:val="24"/>
                <w:lang w:val="en-US" w:eastAsia="zh-CN"/>
              </w:rPr>
              <w:t>新建废水处理站一座、活性炭吸附装置两套，采用水帘喷漆工艺。</w:t>
            </w:r>
            <w:r>
              <w:rPr>
                <w:rFonts w:hint="eastAsia" w:ascii="Times New Roman" w:hAnsi="Times New Roman"/>
                <w:sz w:val="24"/>
                <w:szCs w:val="24"/>
              </w:rPr>
              <w:t>项目实际总投资</w:t>
            </w:r>
            <w:r>
              <w:rPr>
                <w:rFonts w:hint="eastAsia" w:ascii="Times New Roman" w:hAnsi="Times New Roman"/>
                <w:sz w:val="24"/>
                <w:szCs w:val="24"/>
                <w:lang w:val="en-US" w:eastAsia="zh-CN"/>
              </w:rPr>
              <w:t>6828.6亿</w:t>
            </w:r>
            <w:r>
              <w:rPr>
                <w:rFonts w:hint="eastAsia" w:ascii="Times New Roman" w:hAnsi="Times New Roman"/>
                <w:sz w:val="24"/>
                <w:szCs w:val="24"/>
              </w:rPr>
              <w:t>元，其中环保投资</w:t>
            </w:r>
            <w:r>
              <w:rPr>
                <w:rFonts w:hint="eastAsia" w:ascii="Times New Roman" w:hAnsi="Times New Roman"/>
                <w:sz w:val="24"/>
                <w:szCs w:val="24"/>
                <w:lang w:val="en-US" w:eastAsia="zh-CN"/>
              </w:rPr>
              <w:t>117.2</w:t>
            </w:r>
            <w:r>
              <w:rPr>
                <w:rFonts w:hint="eastAsia" w:ascii="Times New Roman" w:hAnsi="Times New Roman"/>
                <w:sz w:val="24"/>
                <w:szCs w:val="24"/>
              </w:rPr>
              <w:t>万元，占工程总投资的</w:t>
            </w:r>
            <w:r>
              <w:rPr>
                <w:rFonts w:hint="eastAsia" w:ascii="Times New Roman" w:hAnsi="Times New Roman"/>
                <w:sz w:val="24"/>
                <w:szCs w:val="24"/>
                <w:lang w:val="en-US" w:eastAsia="zh-CN"/>
              </w:rPr>
              <w:t>1.72</w:t>
            </w:r>
            <w:r>
              <w:rPr>
                <w:rFonts w:hint="eastAsia" w:ascii="Times New Roman" w:hAnsi="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二、项目环保设施及措施落实情况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sz w:val="24"/>
                <w:szCs w:val="24"/>
              </w:rPr>
            </w:pPr>
            <w:r>
              <w:rPr>
                <w:rFonts w:hint="eastAsia" w:ascii="Times New Roman" w:hAnsi="Times New Roman"/>
                <w:sz w:val="24"/>
                <w:szCs w:val="24"/>
              </w:rPr>
              <w:t>（一）环保设施及措施基本按环评要求建成和落实，</w:t>
            </w:r>
            <w:r>
              <w:rPr>
                <w:rFonts w:hint="eastAsia" w:ascii="Times New Roman" w:hAnsi="Times New Roman"/>
                <w:sz w:val="24"/>
                <w:szCs w:val="24"/>
                <w:lang w:eastAsia="zh-CN"/>
              </w:rPr>
              <w:t>根据四川中衡检测技术有限公司出具的《</w:t>
            </w:r>
            <w:r>
              <w:rPr>
                <w:rFonts w:hint="eastAsia" w:ascii="Times New Roman" w:hAnsi="Times New Roman"/>
                <w:b w:val="0"/>
                <w:bCs w:val="0"/>
                <w:sz w:val="24"/>
                <w:szCs w:val="24"/>
                <w:vertAlign w:val="baseline"/>
                <w:lang w:val="en-US" w:eastAsia="zh-CN"/>
              </w:rPr>
              <w:t>四川资阳汽车零部件生产基地项目（一期）车桥生产线建设项目竣工环境保护验收监测报告</w:t>
            </w:r>
            <w:r>
              <w:rPr>
                <w:rFonts w:hint="eastAsia" w:ascii="Times New Roman" w:hAnsi="Times New Roman"/>
                <w:sz w:val="24"/>
                <w:szCs w:val="24"/>
                <w:lang w:eastAsia="zh-CN"/>
              </w:rPr>
              <w:t>》（中衡检测验字</w:t>
            </w:r>
            <w:r>
              <w:rPr>
                <w:rFonts w:hint="eastAsia" w:ascii="Times New Roman" w:hAnsi="Times New Roman"/>
                <w:sz w:val="24"/>
                <w:szCs w:val="24"/>
                <w:lang w:val="en-US" w:eastAsia="zh-CN"/>
              </w:rPr>
              <w:t>[2017]第223号</w:t>
            </w:r>
            <w:r>
              <w:rPr>
                <w:rFonts w:hint="eastAsia" w:ascii="Times New Roman" w:hAnsi="Times New Roman"/>
                <w:sz w:val="24"/>
                <w:szCs w:val="24"/>
                <w:lang w:eastAsia="zh-CN"/>
              </w:rPr>
              <w:t>），</w:t>
            </w:r>
            <w:r>
              <w:rPr>
                <w:rFonts w:hint="eastAsia" w:ascii="Times New Roman" w:hAnsi="Times New Roman"/>
                <w:sz w:val="24"/>
                <w:szCs w:val="24"/>
              </w:rPr>
              <w:t>具体情况如下：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1、废水</w:t>
            </w:r>
          </w:p>
          <w:p>
            <w:pPr>
              <w:pStyle w:val="16"/>
              <w:numPr>
                <w:ilvl w:val="0"/>
                <w:numId w:val="2"/>
              </w:numPr>
              <w:spacing w:line="360" w:lineRule="auto"/>
              <w:ind w:firstLine="480" w:firstLineChars="200"/>
              <w:rPr>
                <w:rFonts w:hint="eastAsia"/>
                <w:b w:val="0"/>
                <w:bCs/>
                <w:sz w:val="24"/>
                <w:szCs w:val="24"/>
              </w:rPr>
            </w:pPr>
            <w:r>
              <w:rPr>
                <w:rFonts w:hint="eastAsia"/>
                <w:b w:val="0"/>
                <w:bCs/>
                <w:sz w:val="24"/>
                <w:szCs w:val="24"/>
              </w:rPr>
              <w:t>生产废水</w:t>
            </w:r>
          </w:p>
          <w:p>
            <w:pPr>
              <w:pStyle w:val="16"/>
              <w:spacing w:line="360" w:lineRule="auto"/>
              <w:ind w:firstLine="480" w:firstLineChars="200"/>
              <w:rPr>
                <w:rFonts w:hint="eastAsia"/>
                <w:b w:val="0"/>
                <w:bCs/>
                <w:sz w:val="24"/>
                <w:szCs w:val="24"/>
              </w:rPr>
            </w:pPr>
            <w:r>
              <w:rPr>
                <w:rFonts w:hint="eastAsia"/>
                <w:b w:val="0"/>
                <w:bCs/>
                <w:sz w:val="24"/>
                <w:szCs w:val="24"/>
              </w:rPr>
              <w:t>在生产过程中会产生清洗废水、实验室废水</w:t>
            </w:r>
            <w:r>
              <w:rPr>
                <w:rFonts w:hint="eastAsia"/>
                <w:b w:val="0"/>
                <w:bCs/>
                <w:sz w:val="24"/>
                <w:szCs w:val="24"/>
                <w:lang w:eastAsia="zh-CN"/>
              </w:rPr>
              <w:t>（物理实验）</w:t>
            </w:r>
            <w:r>
              <w:rPr>
                <w:rFonts w:hint="eastAsia"/>
                <w:b w:val="0"/>
                <w:bCs/>
                <w:sz w:val="24"/>
                <w:szCs w:val="24"/>
              </w:rPr>
              <w:t>和喷漆废水。</w:t>
            </w:r>
            <w:r>
              <w:rPr>
                <w:rFonts w:hint="eastAsia"/>
                <w:b w:val="0"/>
                <w:bCs/>
                <w:sz w:val="24"/>
                <w:szCs w:val="24"/>
                <w:lang w:eastAsia="zh-CN"/>
              </w:rPr>
              <w:t>其主要污染物为：石油类、</w:t>
            </w:r>
            <w:r>
              <w:rPr>
                <w:rFonts w:hint="eastAsia"/>
                <w:b w:val="0"/>
                <w:bCs/>
                <w:sz w:val="24"/>
                <w:szCs w:val="24"/>
                <w:lang w:val="en-US" w:eastAsia="zh-CN"/>
              </w:rPr>
              <w:t>COD、氨氮、BOD</w:t>
            </w:r>
            <w:r>
              <w:rPr>
                <w:rFonts w:hint="eastAsia"/>
                <w:b w:val="0"/>
                <w:bCs/>
                <w:sz w:val="24"/>
                <w:szCs w:val="24"/>
                <w:vertAlign w:val="subscript"/>
                <w:lang w:val="en-US" w:eastAsia="zh-CN"/>
              </w:rPr>
              <w:t>5</w:t>
            </w:r>
            <w:r>
              <w:rPr>
                <w:rFonts w:hint="eastAsia"/>
                <w:b w:val="0"/>
                <w:bCs/>
                <w:sz w:val="24"/>
                <w:szCs w:val="24"/>
                <w:lang w:val="en-US" w:eastAsia="zh-CN"/>
              </w:rPr>
              <w:t>、SS、表面活性剂等。</w:t>
            </w:r>
          </w:p>
          <w:p>
            <w:pPr>
              <w:spacing w:line="360" w:lineRule="auto"/>
              <w:ind w:firstLine="560"/>
              <w:rPr>
                <w:rFonts w:hint="eastAsia"/>
                <w:bCs/>
                <w:sz w:val="24"/>
                <w:szCs w:val="24"/>
              </w:rPr>
            </w:pPr>
            <w:r>
              <w:rPr>
                <w:rFonts w:hint="eastAsia"/>
                <w:bCs/>
                <w:sz w:val="24"/>
                <w:szCs w:val="24"/>
              </w:rPr>
              <w:t>治理措施：生产废水经</w:t>
            </w:r>
            <w:r>
              <w:rPr>
                <w:rFonts w:hint="eastAsia"/>
                <w:color w:val="000000"/>
                <w:sz w:val="24"/>
                <w:szCs w:val="24"/>
              </w:rPr>
              <w:t>废水处理站处理后循环使用不外排。</w:t>
            </w:r>
          </w:p>
          <w:p>
            <w:pPr>
              <w:pStyle w:val="15"/>
              <w:numPr>
                <w:ilvl w:val="0"/>
                <w:numId w:val="2"/>
              </w:numPr>
              <w:ind w:firstLine="560"/>
              <w:rPr>
                <w:rFonts w:hint="eastAsia"/>
                <w:bCs/>
                <w:sz w:val="24"/>
                <w:szCs w:val="24"/>
              </w:rPr>
            </w:pPr>
            <w:r>
              <w:rPr>
                <w:rFonts w:hint="eastAsia"/>
                <w:bCs/>
                <w:sz w:val="24"/>
                <w:szCs w:val="24"/>
              </w:rPr>
              <w:t>生活污水</w:t>
            </w:r>
          </w:p>
          <w:p>
            <w:pPr>
              <w:pStyle w:val="14"/>
              <w:spacing w:line="360" w:lineRule="auto"/>
              <w:ind w:firstLine="480" w:firstLineChars="200"/>
              <w:rPr>
                <w:rFonts w:hint="eastAsia" w:ascii="Times New Roman" w:hAnsi="Times New Roman"/>
                <w:color w:val="000000"/>
                <w:sz w:val="24"/>
                <w:szCs w:val="24"/>
              </w:rPr>
            </w:pPr>
            <w:r>
              <w:rPr>
                <w:rFonts w:hint="eastAsia" w:ascii="Times New Roman" w:hAnsi="Times New Roman"/>
                <w:color w:val="000000"/>
                <w:sz w:val="24"/>
                <w:szCs w:val="24"/>
              </w:rPr>
              <w:t>生活污水主要为食堂用水和办公生活用水。</w:t>
            </w:r>
          </w:p>
          <w:p>
            <w:pPr>
              <w:tabs>
                <w:tab w:val="left" w:pos="1420"/>
                <w:tab w:val="left" w:pos="6465"/>
              </w:tabs>
              <w:spacing w:line="360" w:lineRule="auto"/>
              <w:ind w:firstLine="480" w:firstLineChars="200"/>
              <w:rPr>
                <w:rFonts w:hint="eastAsia"/>
                <w:color w:val="000000"/>
                <w:sz w:val="24"/>
                <w:szCs w:val="24"/>
              </w:rPr>
            </w:pPr>
            <w:r>
              <w:rPr>
                <w:rFonts w:hint="eastAsia"/>
                <w:color w:val="000000"/>
                <w:sz w:val="24"/>
                <w:szCs w:val="24"/>
              </w:rPr>
              <w:t>治理措施：食堂用水经隔油池（依托于变速器项目建设）处理后与办公生活污水一起进入预处理池（依托于变速器项目建设）处理后</w:t>
            </w:r>
            <w:r>
              <w:rPr>
                <w:rFonts w:hint="eastAsia"/>
                <w:color w:val="auto"/>
                <w:sz w:val="24"/>
                <w:szCs w:val="24"/>
                <w:lang w:val="en-US" w:eastAsia="zh-CN"/>
              </w:rPr>
              <w:t>达</w:t>
            </w:r>
            <w:r>
              <w:rPr>
                <w:rFonts w:hint="eastAsia"/>
                <w:sz w:val="24"/>
                <w:szCs w:val="24"/>
              </w:rPr>
              <w:t>《污水综合排放标准》（GB8978-1996）表4中</w:t>
            </w:r>
            <w:r>
              <w:rPr>
                <w:rFonts w:hint="eastAsia" w:cs="宋体"/>
                <w:sz w:val="24"/>
                <w:szCs w:val="24"/>
                <w:lang w:val="en-US" w:eastAsia="zh-CN"/>
              </w:rPr>
              <w:t>1</w:t>
            </w:r>
            <w:r>
              <w:rPr>
                <w:rFonts w:hint="eastAsia" w:cs="宋体"/>
                <w:sz w:val="24"/>
                <w:szCs w:val="24"/>
              </w:rPr>
              <w:t>级标准</w:t>
            </w:r>
            <w:r>
              <w:rPr>
                <w:rFonts w:hint="eastAsia" w:cs="宋体"/>
                <w:sz w:val="24"/>
                <w:szCs w:val="24"/>
                <w:lang w:eastAsia="zh-CN"/>
              </w:rPr>
              <w:t>后，</w:t>
            </w:r>
            <w:r>
              <w:rPr>
                <w:rFonts w:hint="eastAsia"/>
                <w:color w:val="000000"/>
                <w:sz w:val="24"/>
                <w:szCs w:val="24"/>
                <w:lang w:eastAsia="zh-CN"/>
              </w:rPr>
              <w:t>通过</w:t>
            </w:r>
            <w:r>
              <w:rPr>
                <w:rFonts w:hint="eastAsia"/>
                <w:color w:val="000000"/>
                <w:sz w:val="24"/>
                <w:szCs w:val="24"/>
              </w:rPr>
              <w:t>市政污水管网进入资阳市第二污水处理厂。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olor w:val="auto"/>
                <w:sz w:val="24"/>
                <w:szCs w:val="24"/>
                <w:lang w:eastAsia="zh-CN"/>
              </w:rPr>
            </w:pPr>
            <w:r>
              <w:rPr>
                <w:rFonts w:hint="eastAsia"/>
                <w:color w:val="000000"/>
                <w:sz w:val="24"/>
                <w:szCs w:val="24"/>
                <w:lang w:eastAsia="zh-CN"/>
              </w:rPr>
              <w:t>该</w:t>
            </w:r>
            <w:r>
              <w:rPr>
                <w:rFonts w:hint="eastAsia"/>
                <w:color w:val="auto"/>
                <w:sz w:val="24"/>
                <w:szCs w:val="24"/>
                <w:lang w:eastAsia="zh-CN"/>
              </w:rPr>
              <w:t>废水处理站由日照海川水处理工程有限公司于</w:t>
            </w:r>
            <w:r>
              <w:rPr>
                <w:rFonts w:hint="eastAsia"/>
                <w:color w:val="auto"/>
                <w:sz w:val="24"/>
                <w:szCs w:val="24"/>
                <w:lang w:val="en-US" w:eastAsia="zh-CN"/>
              </w:rPr>
              <w:t>2015年10月设计并安装，其设计处理能力</w:t>
            </w:r>
            <w:r>
              <w:rPr>
                <w:sz w:val="24"/>
                <w:szCs w:val="24"/>
              </w:rPr>
              <w:t>20m</w:t>
            </w:r>
            <w:r>
              <w:rPr>
                <w:sz w:val="24"/>
                <w:szCs w:val="24"/>
                <w:vertAlign w:val="superscript"/>
              </w:rPr>
              <w:t>3</w:t>
            </w:r>
            <w:r>
              <w:rPr>
                <w:sz w:val="24"/>
                <w:szCs w:val="24"/>
              </w:rPr>
              <w:t>/</w:t>
            </w:r>
            <w:r>
              <w:rPr>
                <w:rFonts w:hAnsi="宋体"/>
                <w:sz w:val="24"/>
                <w:szCs w:val="24"/>
              </w:rPr>
              <w:t>周期</w:t>
            </w:r>
            <w:r>
              <w:rPr>
                <w:rFonts w:hint="eastAsia" w:hAnsi="宋体"/>
                <w:sz w:val="24"/>
                <w:szCs w:val="24"/>
                <w:lang w:eastAsia="zh-CN"/>
              </w:rPr>
              <w:t>（</w:t>
            </w:r>
            <w:r>
              <w:rPr>
                <w:sz w:val="24"/>
                <w:szCs w:val="24"/>
              </w:rPr>
              <w:t>15</w:t>
            </w:r>
            <w:r>
              <w:rPr>
                <w:rFonts w:hAnsi="宋体"/>
                <w:sz w:val="24"/>
                <w:szCs w:val="24"/>
              </w:rPr>
              <w:t>日</w:t>
            </w:r>
            <w:r>
              <w:rPr>
                <w:rFonts w:hint="eastAsia" w:hAnsi="宋体"/>
                <w:sz w:val="24"/>
                <w:szCs w:val="24"/>
                <w:lang w:eastAsia="zh-CN"/>
              </w:rPr>
              <w:t>），</w:t>
            </w:r>
            <w:r>
              <w:rPr>
                <w:rFonts w:hint="eastAsia" w:ascii="Times New Roman" w:hAnsi="Times New Roman" w:eastAsia="宋体"/>
                <w:color w:val="auto"/>
                <w:sz w:val="24"/>
                <w:szCs w:val="24"/>
                <w:lang w:eastAsia="zh-CN"/>
              </w:rPr>
              <w:t>其处理工艺为间歇性处理。</w:t>
            </w:r>
            <w:r>
              <w:rPr>
                <w:rFonts w:hint="eastAsia" w:ascii="Times New Roman" w:hAnsi="Times New Roman" w:eastAsia="宋体"/>
                <w:color w:val="auto"/>
                <w:sz w:val="24"/>
                <w:szCs w:val="24"/>
                <w:lang w:val="en-US" w:eastAsia="zh-CN"/>
              </w:rPr>
              <w:t>其废水处理站包括：保安过滤器、一号反应器、气浮装置、二号反应器、活性炭池。</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该项目的清洗废水是在“清洗”工艺过程中产生的，其清洗机自带过滤装置，可随时将产生的沉渣过滤，且定期往里面添加清洗剂，以保持清洗水的澄清度和清洁度，清洗废水约</w:t>
            </w:r>
            <w:r>
              <w:rPr>
                <w:rFonts w:hint="eastAsia" w:ascii="Times New Roman" w:hAnsi="Times New Roman" w:eastAsia="宋体"/>
                <w:color w:val="auto"/>
                <w:sz w:val="24"/>
                <w:szCs w:val="24"/>
                <w:lang w:val="en-US" w:eastAsia="zh-CN"/>
              </w:rPr>
              <w:t>2个月排放一次至废水处理站</w:t>
            </w:r>
            <w:r>
              <w:rPr>
                <w:rFonts w:hint="eastAsia" w:ascii="Times New Roman" w:hAnsi="Times New Roman" w:eastAsia="宋体"/>
                <w:color w:val="auto"/>
                <w:sz w:val="24"/>
                <w:szCs w:val="24"/>
                <w:lang w:eastAsia="zh-CN"/>
              </w:rPr>
              <w:t>。实验室废水（物理实验）是在“零部件抽样检查”工艺过程中产生的，其废水通过设备自带的过滤装置过滤后进入废水处理站。喷漆废水在“喷漆”工艺中产生，漆渣定期打捞存放于危废暂存间，交有资质的危废单位处置。喷漆废水经捞渣处理后循环使用，每个月排放一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清洗废水、实验室废水、喷漆废水均为定期稳定排放，废水处理站进水水质稳定，故此说明无需调节池。</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lang w:eastAsia="zh-CN"/>
              </w:rPr>
              <w:t>有组织</w:t>
            </w:r>
            <w:r>
              <w:rPr>
                <w:rFonts w:hint="eastAsia" w:ascii="Times New Roman" w:hAnsi="Times New Roman"/>
                <w:b/>
                <w:sz w:val="24"/>
                <w:szCs w:val="24"/>
              </w:rPr>
              <w:t>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 xml:space="preserve"> （1）二甲苯、二甲苯、VOCS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有机废气主要在调漆、喷漆、烘干过程中产生，其中有机废气的主要污染物为甲苯、二甲苯、VOCS。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治理措施：有机废气经集气管道收集后经两套涂装废气净化装置（活性炭吸附装置）处理后通过两根15m高排气筒</w:t>
            </w:r>
            <w:r>
              <w:rPr>
                <w:rFonts w:hint="eastAsia" w:ascii="Times New Roman" w:hAnsi="Times New Roman"/>
                <w:b w:val="0"/>
                <w:bCs/>
                <w:sz w:val="24"/>
                <w:szCs w:val="24"/>
                <w:lang w:eastAsia="zh-CN"/>
              </w:rPr>
              <w:t>达</w:t>
            </w:r>
            <w:r>
              <w:rPr>
                <w:rFonts w:hint="eastAsia" w:ascii="Times New Roman" w:hAnsi="Times New Roman"/>
                <w:b w:val="0"/>
                <w:bCs/>
                <w:sz w:val="24"/>
                <w:szCs w:val="24"/>
              </w:rPr>
              <w:t>《工业企业挥发性有机物排放控制标准》DB12/524-2014表2中</w:t>
            </w:r>
            <w:r>
              <w:rPr>
                <w:rFonts w:hint="eastAsia" w:ascii="Times New Roman" w:hAnsi="Times New Roman"/>
                <w:b w:val="0"/>
                <w:bCs/>
                <w:sz w:val="24"/>
                <w:szCs w:val="24"/>
                <w:lang w:eastAsia="zh-CN"/>
              </w:rPr>
              <w:t>表面涂装</w:t>
            </w:r>
            <w:r>
              <w:rPr>
                <w:rFonts w:hint="eastAsia" w:ascii="Times New Roman" w:hAnsi="Times New Roman"/>
                <w:b w:val="0"/>
                <w:bCs/>
                <w:sz w:val="24"/>
                <w:szCs w:val="24"/>
              </w:rPr>
              <w:t>最高允许排放浓度和最高允许排放速率排放。（其中前车桥生产线和商用后车桥生产线共用一套涂装废气净化装置，两条乘用后车桥生产线共用一套涂装废气净化装置）</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（2）食堂油烟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治理措施：食堂油烟依托变速器项目建有的2台油烟净化器处理后通过排气筒</w:t>
            </w:r>
            <w:r>
              <w:rPr>
                <w:rFonts w:hint="eastAsia" w:ascii="Times New Roman" w:hAnsi="Times New Roman"/>
                <w:b w:val="0"/>
                <w:bCs/>
                <w:sz w:val="24"/>
                <w:szCs w:val="24"/>
                <w:lang w:eastAsia="zh-CN"/>
              </w:rPr>
              <w:t>达</w:t>
            </w:r>
            <w:r>
              <w:rPr>
                <w:rFonts w:hint="eastAsia" w:ascii="Times New Roman" w:hAnsi="Times New Roman"/>
                <w:b w:val="0"/>
                <w:bCs/>
                <w:sz w:val="24"/>
                <w:szCs w:val="24"/>
              </w:rPr>
              <w:t>《饮食业油烟排放标准（试行）》（GB18483-2001）表2中最高允许排放浓度排放。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lang w:eastAsia="zh-CN"/>
              </w:rPr>
              <w:t>（</w:t>
            </w:r>
            <w:r>
              <w:rPr>
                <w:rFonts w:hint="eastAsia" w:ascii="Times New Roman" w:hAnsi="Times New Roman"/>
                <w:b w:val="0"/>
                <w:bCs/>
                <w:sz w:val="24"/>
                <w:szCs w:val="24"/>
                <w:lang w:val="en-US" w:eastAsia="zh-CN"/>
              </w:rPr>
              <w:t>3</w:t>
            </w:r>
            <w:r>
              <w:rPr>
                <w:rFonts w:hint="eastAsia" w:ascii="Times New Roman" w:hAnsi="Times New Roman"/>
                <w:b w:val="0"/>
                <w:bCs/>
                <w:sz w:val="24"/>
                <w:szCs w:val="24"/>
                <w:lang w:eastAsia="zh-CN"/>
              </w:rPr>
              <w:t>）</w:t>
            </w:r>
            <w:r>
              <w:rPr>
                <w:rFonts w:hint="eastAsia" w:ascii="Times New Roman" w:hAnsi="Times New Roman"/>
                <w:b w:val="0"/>
                <w:bCs/>
                <w:sz w:val="24"/>
                <w:szCs w:val="24"/>
              </w:rPr>
              <w:t>备用发电机废气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rPr>
            </w:pPr>
            <w:r>
              <w:rPr>
                <w:rFonts w:hint="eastAsia" w:ascii="Times New Roman" w:hAnsi="Times New Roman"/>
                <w:b w:val="0"/>
                <w:bCs/>
                <w:sz w:val="24"/>
                <w:szCs w:val="24"/>
              </w:rPr>
              <w:t>该项目配备有一台备用柴油发电机</w:t>
            </w:r>
            <w:r>
              <w:rPr>
                <w:rFonts w:hint="eastAsia" w:ascii="Times New Roman" w:hAnsi="Times New Roman"/>
                <w:b w:val="0"/>
                <w:bCs/>
                <w:sz w:val="24"/>
                <w:szCs w:val="24"/>
                <w:lang w:eastAsia="zh-CN"/>
              </w:rPr>
              <w:t>（变速器生产线建设）作为应急电源，</w:t>
            </w:r>
            <w:r>
              <w:rPr>
                <w:rFonts w:hint="eastAsia" w:ascii="Times New Roman" w:hAnsi="Times New Roman"/>
                <w:b w:val="0"/>
                <w:bCs/>
                <w:sz w:val="24"/>
                <w:szCs w:val="24"/>
              </w:rPr>
              <w:t>使用过程中会产生少量废气</w:t>
            </w:r>
            <w:r>
              <w:rPr>
                <w:rFonts w:hint="eastAsia" w:ascii="Times New Roman" w:hAnsi="Times New Roman"/>
                <w:b w:val="0"/>
                <w:bCs/>
                <w:sz w:val="24"/>
                <w:szCs w:val="24"/>
                <w:lang w:eastAsia="zh-CN"/>
              </w:rPr>
              <w:t>，其主要成分为</w:t>
            </w:r>
            <w:r>
              <w:rPr>
                <w:rFonts w:hint="eastAsia" w:ascii="Times New Roman" w:hAnsi="Times New Roman"/>
                <w:b w:val="0"/>
                <w:bCs/>
                <w:sz w:val="24"/>
                <w:szCs w:val="24"/>
                <w:lang w:val="en-US" w:eastAsia="zh-CN"/>
              </w:rPr>
              <w:t>碳氢化合物和氮氧化物</w:t>
            </w:r>
            <w:r>
              <w:rPr>
                <w:rFonts w:hint="eastAsia" w:ascii="Times New Roman" w:hAnsi="Times New Roman"/>
                <w:b w:val="0"/>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b w:val="0"/>
                <w:bCs/>
                <w:sz w:val="24"/>
                <w:szCs w:val="24"/>
                <w:lang w:val="en-US" w:eastAsia="zh-CN"/>
              </w:rPr>
            </w:pPr>
            <w:r>
              <w:rPr>
                <w:rFonts w:hint="eastAsia" w:ascii="Times New Roman" w:hAnsi="Times New Roman"/>
                <w:b w:val="0"/>
                <w:bCs/>
                <w:sz w:val="24"/>
                <w:szCs w:val="24"/>
              </w:rPr>
              <w:t>治理措施：备用发电机废气通过自带的尾气处理设施处理后经排气管</w:t>
            </w:r>
            <w:r>
              <w:rPr>
                <w:rFonts w:hint="eastAsia" w:ascii="Times New Roman" w:hAnsi="Times New Roman"/>
                <w:b w:val="0"/>
                <w:bCs/>
                <w:sz w:val="24"/>
                <w:szCs w:val="24"/>
                <w:lang w:eastAsia="zh-CN"/>
              </w:rPr>
              <w:t>引至车间屋顶高空排放</w:t>
            </w:r>
            <w:r>
              <w:rPr>
                <w:rFonts w:hint="eastAsia" w:ascii="Times New Roman" w:hAnsi="Times New Roman"/>
                <w:b w:val="0"/>
                <w:bCs/>
                <w:sz w:val="24"/>
                <w:szCs w:val="24"/>
              </w:rPr>
              <w:t>。</w:t>
            </w:r>
            <w:r>
              <w:rPr>
                <w:rFonts w:hint="eastAsia" w:ascii="Times New Roman" w:hAnsi="Times New Roman"/>
                <w:b w:val="0"/>
                <w:bCs/>
                <w:sz w:val="24"/>
                <w:szCs w:val="24"/>
                <w:lang w:eastAsia="zh-CN"/>
              </w:rPr>
              <w:t>由于柴油发电机仅用作备用电源，年使用时间较少，且其产生的废气量小，加之使用</w:t>
            </w:r>
            <w:r>
              <w:rPr>
                <w:rFonts w:hint="eastAsia" w:ascii="Times New Roman" w:hAnsi="Times New Roman"/>
                <w:b w:val="0"/>
                <w:bCs/>
                <w:sz w:val="24"/>
                <w:szCs w:val="24"/>
                <w:lang w:val="en-US" w:eastAsia="zh-CN"/>
              </w:rPr>
              <w:t>0#柴油，0#柴油属于清洁能源，其燃烧产生的废气污染较少，采取上述措施后能够达《大气污染物综合排放标准》（GB16297-1996）中二级标准排放。</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bCs w:val="0"/>
                <w:sz w:val="24"/>
                <w:szCs w:val="24"/>
                <w:lang w:val="en-US" w:eastAsia="zh-CN"/>
              </w:rPr>
            </w:pPr>
            <w:r>
              <w:rPr>
                <w:rFonts w:hint="eastAsia" w:ascii="Times New Roman" w:hAnsi="Times New Roman"/>
                <w:b/>
                <w:bCs w:val="0"/>
                <w:sz w:val="24"/>
                <w:szCs w:val="24"/>
                <w:lang w:val="en-US" w:eastAsia="zh-CN"/>
              </w:rPr>
              <w:t>无组织废气</w:t>
            </w:r>
          </w:p>
          <w:p>
            <w:pPr>
              <w:spacing w:line="360" w:lineRule="auto"/>
              <w:ind w:firstLine="491" w:firstLineChars="205"/>
              <w:rPr>
                <w:rFonts w:hint="eastAsia"/>
                <w:sz w:val="24"/>
                <w:szCs w:val="24"/>
              </w:rPr>
            </w:pPr>
            <w:r>
              <w:rPr>
                <w:rFonts w:hint="eastAsia"/>
                <w:sz w:val="24"/>
                <w:szCs w:val="24"/>
              </w:rPr>
              <w:t>在涂装、喷漆、烘干工序和</w:t>
            </w:r>
            <w:r>
              <w:rPr>
                <w:rFonts w:hint="eastAsia"/>
                <w:color w:val="auto"/>
                <w:sz w:val="24"/>
                <w:szCs w:val="24"/>
              </w:rPr>
              <w:t>焊接过程</w:t>
            </w:r>
            <w:r>
              <w:rPr>
                <w:rFonts w:hint="eastAsia"/>
                <w:sz w:val="24"/>
                <w:szCs w:val="24"/>
              </w:rPr>
              <w:t>会产生少量的无组织废气。</w:t>
            </w:r>
            <w:r>
              <w:rPr>
                <w:rFonts w:hint="eastAsia"/>
                <w:sz w:val="24"/>
                <w:szCs w:val="24"/>
                <w:lang w:eastAsia="zh-CN"/>
              </w:rPr>
              <w:t>其主要成分是</w:t>
            </w:r>
            <w:r>
              <w:rPr>
                <w:rFonts w:hint="eastAsia"/>
                <w:color w:val="auto"/>
                <w:sz w:val="24"/>
                <w:szCs w:val="24"/>
                <w:lang w:eastAsia="zh-CN"/>
              </w:rPr>
              <w:t>甲苯、二甲苯、</w:t>
            </w:r>
            <w:r>
              <w:rPr>
                <w:rFonts w:hint="eastAsia"/>
                <w:b w:val="0"/>
                <w:bCs w:val="0"/>
                <w:sz w:val="24"/>
                <w:szCs w:val="24"/>
              </w:rPr>
              <w:t>VOC</w:t>
            </w:r>
            <w:r>
              <w:rPr>
                <w:rFonts w:hint="eastAsia"/>
                <w:b w:val="0"/>
                <w:bCs w:val="0"/>
                <w:sz w:val="24"/>
                <w:szCs w:val="24"/>
                <w:vertAlign w:val="subscript"/>
              </w:rPr>
              <w:t>S</w:t>
            </w:r>
            <w:r>
              <w:rPr>
                <w:rFonts w:hint="eastAsia"/>
                <w:color w:val="000000"/>
                <w:sz w:val="24"/>
                <w:szCs w:val="24"/>
                <w:lang w:eastAsia="zh-CN"/>
              </w:rPr>
              <w:t>、颗粒物。</w:t>
            </w:r>
          </w:p>
          <w:p>
            <w:pPr>
              <w:spacing w:line="360" w:lineRule="auto"/>
              <w:ind w:firstLine="480" w:firstLineChars="200"/>
              <w:rPr>
                <w:rFonts w:hint="eastAsia" w:ascii="Times New Roman" w:hAnsi="Times New Roman"/>
                <w:b/>
                <w:bCs w:val="0"/>
                <w:sz w:val="24"/>
                <w:szCs w:val="24"/>
                <w:lang w:val="en-US" w:eastAsia="zh-CN"/>
              </w:rPr>
            </w:pPr>
            <w:r>
              <w:rPr>
                <w:rFonts w:hint="eastAsia"/>
                <w:sz w:val="24"/>
                <w:szCs w:val="24"/>
              </w:rPr>
              <w:t>治理措施：</w:t>
            </w:r>
            <w:r>
              <w:rPr>
                <w:rFonts w:hint="eastAsia"/>
                <w:sz w:val="24"/>
                <w:szCs w:val="24"/>
                <w:lang w:eastAsia="zh-CN"/>
              </w:rPr>
              <w:t>喷漆采用水帘喷漆，</w:t>
            </w:r>
            <w:r>
              <w:rPr>
                <w:rFonts w:hint="eastAsia"/>
                <w:color w:val="auto"/>
                <w:sz w:val="24"/>
                <w:szCs w:val="24"/>
                <w:lang w:eastAsia="zh-CN"/>
              </w:rPr>
              <w:t>焊接烟尘经集气罩收集后通过管道（管道内设有风机）无组织排放</w:t>
            </w:r>
            <w:r>
              <w:rPr>
                <w:rFonts w:hint="eastAsia"/>
                <w:color w:val="auto"/>
                <w:sz w:val="24"/>
                <w:szCs w:val="24"/>
              </w:rPr>
              <w:t>。</w:t>
            </w:r>
            <w:r>
              <w:rPr>
                <w:rFonts w:hint="eastAsia"/>
                <w:b w:val="0"/>
                <w:bCs w:val="0"/>
                <w:color w:val="auto"/>
                <w:sz w:val="24"/>
                <w:szCs w:val="24"/>
                <w:vertAlign w:val="baseline"/>
                <w:lang w:eastAsia="zh-CN"/>
              </w:rPr>
              <w:t>无组织废气（</w:t>
            </w:r>
            <w:r>
              <w:rPr>
                <w:rFonts w:hint="eastAsia"/>
                <w:color w:val="auto"/>
                <w:sz w:val="24"/>
                <w:szCs w:val="24"/>
                <w:lang w:eastAsia="zh-CN"/>
              </w:rPr>
              <w:t>甲苯、二甲苯、</w:t>
            </w:r>
            <w:r>
              <w:rPr>
                <w:rFonts w:hint="eastAsia"/>
                <w:b w:val="0"/>
                <w:bCs w:val="0"/>
                <w:sz w:val="24"/>
                <w:szCs w:val="24"/>
              </w:rPr>
              <w:t>VOC</w:t>
            </w:r>
            <w:r>
              <w:rPr>
                <w:rFonts w:hint="eastAsia"/>
                <w:b w:val="0"/>
                <w:bCs w:val="0"/>
                <w:sz w:val="24"/>
                <w:szCs w:val="24"/>
                <w:vertAlign w:val="subscript"/>
              </w:rPr>
              <w:t>S</w:t>
            </w:r>
            <w:r>
              <w:rPr>
                <w:rFonts w:hint="eastAsia"/>
                <w:b w:val="0"/>
                <w:bCs w:val="0"/>
                <w:sz w:val="24"/>
                <w:szCs w:val="24"/>
                <w:vertAlign w:val="baseline"/>
                <w:lang w:eastAsia="zh-CN"/>
              </w:rPr>
              <w:t>）达</w:t>
            </w:r>
            <w:r>
              <w:rPr>
                <w:rFonts w:hint="eastAsia"/>
                <w:color w:val="000000"/>
                <w:sz w:val="24"/>
                <w:szCs w:val="24"/>
              </w:rPr>
              <w:t>《工业企业挥发性有机物排放控制标准》DB12/524-2014表</w:t>
            </w:r>
            <w:r>
              <w:rPr>
                <w:rFonts w:hint="eastAsia"/>
                <w:color w:val="000000"/>
                <w:sz w:val="24"/>
                <w:szCs w:val="24"/>
                <w:lang w:val="en-US" w:eastAsia="zh-CN"/>
              </w:rPr>
              <w:t>5</w:t>
            </w:r>
            <w:r>
              <w:rPr>
                <w:rFonts w:hint="eastAsia"/>
                <w:color w:val="000000"/>
                <w:sz w:val="24"/>
                <w:szCs w:val="24"/>
              </w:rPr>
              <w:t>中其他行业</w:t>
            </w:r>
            <w:r>
              <w:rPr>
                <w:rFonts w:hint="eastAsia"/>
                <w:color w:val="000000"/>
                <w:sz w:val="24"/>
                <w:szCs w:val="24"/>
                <w:lang w:eastAsia="zh-CN"/>
              </w:rPr>
              <w:t>厂界监控点浓度限值排放。颗粒物浓度达</w:t>
            </w:r>
            <w:r>
              <w:rPr>
                <w:sz w:val="24"/>
                <w:szCs w:val="24"/>
              </w:rPr>
              <w:t>《大气污染物综合排放标准》</w:t>
            </w:r>
            <w:r>
              <w:rPr>
                <w:rFonts w:hint="eastAsia"/>
                <w:sz w:val="24"/>
                <w:szCs w:val="24"/>
              </w:rPr>
              <w:t>（</w:t>
            </w:r>
            <w:r>
              <w:rPr>
                <w:sz w:val="24"/>
                <w:szCs w:val="24"/>
              </w:rPr>
              <w:t>GB16297-1996</w:t>
            </w:r>
            <w:r>
              <w:rPr>
                <w:rFonts w:hint="eastAsia"/>
                <w:sz w:val="24"/>
                <w:szCs w:val="24"/>
              </w:rPr>
              <w:t>）表2中无组织排放监控浓度限值</w:t>
            </w:r>
            <w:r>
              <w:rPr>
                <w:rFonts w:hint="eastAsia"/>
                <w:sz w:val="24"/>
                <w:szCs w:val="24"/>
                <w:lang w:eastAsia="zh-CN"/>
              </w:rPr>
              <w:t>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lang w:val="en-US" w:eastAsia="zh-CN"/>
              </w:rPr>
              <w:t>4</w:t>
            </w:r>
            <w:r>
              <w:rPr>
                <w:rFonts w:hint="eastAsia" w:ascii="Times New Roman" w:hAnsi="Times New Roman"/>
                <w:b/>
                <w:sz w:val="24"/>
                <w:szCs w:val="24"/>
              </w:rPr>
              <w:t>、噪声</w:t>
            </w:r>
          </w:p>
          <w:p>
            <w:pPr>
              <w:pStyle w:val="14"/>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噪声主要来源于设备噪声</w:t>
            </w:r>
            <w:r>
              <w:rPr>
                <w:rFonts w:hint="eastAsia" w:ascii="Times New Roman" w:hAnsi="Times New Roman"/>
                <w:color w:val="auto"/>
                <w:sz w:val="24"/>
                <w:szCs w:val="24"/>
                <w:lang w:eastAsia="zh-CN"/>
              </w:rPr>
              <w:t>，主要产噪设备有组装机、压入机、反转机、传送机等设备</w:t>
            </w:r>
            <w:r>
              <w:rPr>
                <w:rFonts w:hint="eastAsia" w:ascii="Times New Roman" w:hAnsi="Times New Roman" w:eastAsia="宋体"/>
                <w:color w:val="auto"/>
                <w:sz w:val="24"/>
                <w:szCs w:val="24"/>
              </w:rPr>
              <w:t>。</w:t>
            </w:r>
            <w:r>
              <w:rPr>
                <w:rFonts w:hint="eastAsia" w:ascii="Times New Roman" w:hAnsi="Times New Roman"/>
                <w:color w:val="auto"/>
                <w:sz w:val="24"/>
                <w:szCs w:val="24"/>
                <w:lang w:eastAsia="zh-CN"/>
              </w:rPr>
              <w:t>主要产噪设备见下表</w:t>
            </w:r>
            <w:r>
              <w:rPr>
                <w:rFonts w:hint="eastAsia" w:ascii="Times New Roman" w:hAnsi="Times New Roman"/>
                <w:color w:val="auto"/>
                <w:sz w:val="24"/>
                <w:szCs w:val="24"/>
                <w:lang w:val="en-US" w:eastAsia="zh-CN"/>
              </w:rPr>
              <w:t>.</w:t>
            </w:r>
          </w:p>
          <w:p>
            <w:pPr>
              <w:pStyle w:val="14"/>
              <w:spacing w:line="240" w:lineRule="auto"/>
              <w:ind w:firstLine="422" w:firstLineChars="200"/>
              <w:jc w:val="center"/>
              <w:rPr>
                <w:rFonts w:hint="eastAsia" w:ascii="Times New Roman" w:hAnsi="Times New Roman" w:eastAsia="宋体"/>
                <w:b/>
                <w:bCs/>
                <w:color w:val="auto"/>
                <w:sz w:val="21"/>
                <w:szCs w:val="21"/>
                <w:lang w:eastAsia="zh-CN"/>
              </w:rPr>
            </w:pPr>
            <w:r>
              <w:rPr>
                <w:rFonts w:hint="eastAsia" w:ascii="Times New Roman" w:hAnsi="Times New Roman"/>
                <w:b/>
                <w:bCs/>
                <w:color w:val="auto"/>
                <w:sz w:val="21"/>
                <w:szCs w:val="21"/>
                <w:lang w:val="en-US" w:eastAsia="zh-CN"/>
              </w:rPr>
              <w:t xml:space="preserve"> 主要产噪设备清单</w:t>
            </w:r>
          </w:p>
          <w:tbl>
            <w:tblPr>
              <w:tblStyle w:val="11"/>
              <w:tblW w:w="8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2009"/>
              <w:gridCol w:w="2537"/>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序号</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产噪设备</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数量（台</w:t>
                  </w:r>
                  <w:r>
                    <w:rPr>
                      <w:rFonts w:hint="eastAsia" w:ascii="Times New Roman" w:hAnsi="Times New Roman"/>
                      <w:color w:val="auto"/>
                      <w:sz w:val="21"/>
                      <w:szCs w:val="21"/>
                      <w:vertAlign w:val="baseline"/>
                      <w:lang w:val="en-US" w:eastAsia="zh-CN"/>
                    </w:rPr>
                    <w:t>/套</w:t>
                  </w:r>
                  <w:r>
                    <w:rPr>
                      <w:rFonts w:hint="eastAsia" w:ascii="Times New Roman" w:hAnsi="Times New Roman"/>
                      <w:color w:val="auto"/>
                      <w:sz w:val="21"/>
                      <w:szCs w:val="21"/>
                      <w:vertAlign w:val="baseline"/>
                      <w:lang w:eastAsia="zh-CN"/>
                    </w:rPr>
                    <w:t>）</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所属工段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1</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压入机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22</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压入工序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2</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拧紧机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组装工序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3</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反转机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9</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反转工序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传送机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34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输送工序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涂抹机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涂抹工序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风机</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排风系统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7</w:t>
                  </w:r>
                </w:p>
              </w:tc>
              <w:tc>
                <w:tcPr>
                  <w:tcW w:w="2009" w:type="dxa"/>
                  <w:vAlign w:val="center"/>
                </w:tcPr>
                <w:p>
                  <w:pPr>
                    <w:pStyle w:val="14"/>
                    <w:spacing w:line="360" w:lineRule="auto"/>
                    <w:jc w:val="center"/>
                    <w:rPr>
                      <w:rFonts w:hint="eastAsia" w:ascii="Times New Roman" w:hAnsi="Times New Roman" w:eastAsia="宋体"/>
                      <w:color w:val="auto"/>
                      <w:sz w:val="21"/>
                      <w:szCs w:val="21"/>
                      <w:vertAlign w:val="baseline"/>
                      <w:lang w:eastAsia="zh-CN"/>
                    </w:rPr>
                  </w:pPr>
                  <w:r>
                    <w:rPr>
                      <w:rFonts w:hint="eastAsia" w:ascii="Times New Roman" w:hAnsi="Times New Roman"/>
                      <w:color w:val="auto"/>
                      <w:sz w:val="21"/>
                      <w:szCs w:val="21"/>
                      <w:vertAlign w:val="baseline"/>
                      <w:lang w:eastAsia="zh-CN"/>
                    </w:rPr>
                    <w:t>水泵</w:t>
                  </w:r>
                </w:p>
              </w:tc>
              <w:tc>
                <w:tcPr>
                  <w:tcW w:w="2537"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w:t>
                  </w:r>
                </w:p>
              </w:tc>
              <w:tc>
                <w:tcPr>
                  <w:tcW w:w="2595" w:type="dxa"/>
                  <w:vAlign w:val="center"/>
                </w:tcPr>
                <w:p>
                  <w:pPr>
                    <w:pStyle w:val="14"/>
                    <w:spacing w:line="360" w:lineRule="auto"/>
                    <w:jc w:val="center"/>
                    <w:rPr>
                      <w:rFonts w:hint="eastAsia"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8</w:t>
                  </w:r>
                </w:p>
              </w:tc>
              <w:tc>
                <w:tcPr>
                  <w:tcW w:w="2009" w:type="dxa"/>
                  <w:vAlign w:val="center"/>
                </w:tcPr>
                <w:p>
                  <w:pPr>
                    <w:pStyle w:val="14"/>
                    <w:spacing w:line="360" w:lineRule="auto"/>
                    <w:jc w:val="center"/>
                    <w:rPr>
                      <w:rFonts w:hint="eastAsia" w:ascii="Times New Roman" w:hAnsi="Times New Roman"/>
                      <w:color w:val="auto"/>
                      <w:sz w:val="21"/>
                      <w:szCs w:val="21"/>
                      <w:vertAlign w:val="baseline"/>
                      <w:lang w:eastAsia="zh-CN"/>
                    </w:rPr>
                  </w:pPr>
                  <w:r>
                    <w:rPr>
                      <w:rFonts w:hint="eastAsia" w:ascii="Times New Roman" w:hAnsi="Times New Roman"/>
                      <w:color w:val="auto"/>
                      <w:sz w:val="21"/>
                      <w:szCs w:val="21"/>
                      <w:vertAlign w:val="baseline"/>
                      <w:lang w:eastAsia="zh-CN"/>
                    </w:rPr>
                    <w:t>空压机</w:t>
                  </w:r>
                </w:p>
              </w:tc>
              <w:tc>
                <w:tcPr>
                  <w:tcW w:w="2537"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1</w:t>
                  </w:r>
                </w:p>
              </w:tc>
              <w:tc>
                <w:tcPr>
                  <w:tcW w:w="2595"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514"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9</w:t>
                  </w:r>
                </w:p>
              </w:tc>
              <w:tc>
                <w:tcPr>
                  <w:tcW w:w="2009" w:type="dxa"/>
                  <w:vAlign w:val="center"/>
                </w:tcPr>
                <w:p>
                  <w:pPr>
                    <w:pStyle w:val="14"/>
                    <w:spacing w:line="360" w:lineRule="auto"/>
                    <w:jc w:val="center"/>
                    <w:rPr>
                      <w:rFonts w:hint="eastAsia" w:ascii="Times New Roman" w:hAnsi="Times New Roman"/>
                      <w:color w:val="auto"/>
                      <w:sz w:val="21"/>
                      <w:szCs w:val="21"/>
                      <w:vertAlign w:val="baseline"/>
                      <w:lang w:eastAsia="zh-CN"/>
                    </w:rPr>
                  </w:pPr>
                  <w:r>
                    <w:rPr>
                      <w:rFonts w:hint="eastAsia" w:ascii="Times New Roman" w:hAnsi="Times New Roman"/>
                      <w:color w:val="auto"/>
                      <w:sz w:val="21"/>
                      <w:szCs w:val="21"/>
                      <w:vertAlign w:val="baseline"/>
                      <w:lang w:eastAsia="zh-CN"/>
                    </w:rPr>
                    <w:t>涂装废气装置</w:t>
                  </w:r>
                </w:p>
              </w:tc>
              <w:tc>
                <w:tcPr>
                  <w:tcW w:w="2537"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2</w:t>
                  </w:r>
                </w:p>
              </w:tc>
              <w:tc>
                <w:tcPr>
                  <w:tcW w:w="2595" w:type="dxa"/>
                  <w:vAlign w:val="center"/>
                </w:tcPr>
                <w:p>
                  <w:pPr>
                    <w:pStyle w:val="14"/>
                    <w:spacing w:line="360" w:lineRule="auto"/>
                    <w:jc w:val="center"/>
                    <w:rPr>
                      <w:rFonts w:hint="eastAsia" w:ascii="Times New Roman" w:hAnsi="Times New Roman"/>
                      <w:color w:val="auto"/>
                      <w:sz w:val="21"/>
                      <w:szCs w:val="21"/>
                      <w:vertAlign w:val="baseline"/>
                      <w:lang w:val="en-US" w:eastAsia="zh-CN"/>
                    </w:rPr>
                  </w:pPr>
                  <w:r>
                    <w:rPr>
                      <w:rFonts w:hint="eastAsia" w:ascii="Times New Roman" w:hAnsi="Times New Roman"/>
                      <w:color w:val="auto"/>
                      <w:sz w:val="21"/>
                      <w:szCs w:val="21"/>
                      <w:vertAlign w:val="baseline"/>
                      <w:lang w:val="en-US" w:eastAsia="zh-CN"/>
                    </w:rPr>
                    <w:t>喷漆工艺</w:t>
                  </w:r>
                </w:p>
              </w:tc>
            </w:tr>
          </w:tbl>
          <w:p>
            <w:pPr>
              <w:pStyle w:val="14"/>
              <w:spacing w:line="360" w:lineRule="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治理措施：</w:t>
            </w:r>
          </w:p>
          <w:p>
            <w:pPr>
              <w:pStyle w:val="14"/>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w:t>
            </w:r>
            <w:r>
              <w:rPr>
                <w:rFonts w:hint="eastAsia" w:ascii="Times New Roman" w:hAnsi="Times New Roman"/>
                <w:color w:val="auto"/>
                <w:sz w:val="24"/>
                <w:szCs w:val="24"/>
                <w:lang w:eastAsia="zh-CN"/>
              </w:rPr>
              <w:t>）选用低噪声设备。比如选用低噪声的压入机和风机。</w:t>
            </w:r>
          </w:p>
          <w:p>
            <w:pPr>
              <w:pStyle w:val="14"/>
              <w:numPr>
                <w:ilvl w:val="0"/>
                <w:numId w:val="4"/>
              </w:num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eastAsia="宋体"/>
                <w:color w:val="auto"/>
                <w:sz w:val="24"/>
                <w:szCs w:val="24"/>
              </w:rPr>
              <w:t>基础减</w:t>
            </w:r>
            <w:r>
              <w:rPr>
                <w:rFonts w:hint="eastAsia" w:ascii="Times New Roman" w:hAnsi="Times New Roman"/>
                <w:color w:val="auto"/>
                <w:sz w:val="24"/>
                <w:szCs w:val="24"/>
                <w:lang w:eastAsia="zh-CN"/>
              </w:rPr>
              <w:t>振。对压入机、传送机等主要设备进行基础减振。风机管道加柔性软接，水泵基础设橡胶隔振垫，水管设曲娆橡胶接头以减振。空压机设置基础减振，进出后安装消声器。</w:t>
            </w:r>
          </w:p>
          <w:p>
            <w:pPr>
              <w:pStyle w:val="14"/>
              <w:numPr>
                <w:ilvl w:val="0"/>
                <w:numId w:val="4"/>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合理布局</w:t>
            </w:r>
            <w:r>
              <w:rPr>
                <w:rFonts w:hint="eastAsia" w:ascii="Times New Roman" w:hAnsi="Times New Roman"/>
                <w:color w:val="auto"/>
                <w:sz w:val="24"/>
                <w:szCs w:val="24"/>
                <w:lang w:eastAsia="zh-CN"/>
              </w:rPr>
              <w:t>、产噪源设备尽量远离厂界布置。</w:t>
            </w:r>
          </w:p>
          <w:p>
            <w:pPr>
              <w:pStyle w:val="14"/>
              <w:numPr>
                <w:ilvl w:val="0"/>
                <w:numId w:val="4"/>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厂房隔音</w:t>
            </w:r>
            <w:r>
              <w:rPr>
                <w:rFonts w:hint="eastAsia" w:ascii="Times New Roman" w:hAnsi="Times New Roman"/>
                <w:color w:val="auto"/>
                <w:sz w:val="24"/>
                <w:szCs w:val="24"/>
                <w:lang w:eastAsia="zh-CN"/>
              </w:rPr>
              <w:t>。</w:t>
            </w:r>
          </w:p>
          <w:p>
            <w:pPr>
              <w:pStyle w:val="14"/>
              <w:numPr>
                <w:ilvl w:val="0"/>
                <w:numId w:val="4"/>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color w:val="auto"/>
                <w:sz w:val="24"/>
                <w:szCs w:val="24"/>
                <w:lang w:eastAsia="zh-CN"/>
              </w:rPr>
              <w:t>加强机械设备的维护和保养，确保其正常运转</w:t>
            </w:r>
            <w:r>
              <w:rPr>
                <w:rFonts w:hint="eastAsia" w:ascii="Times New Roman" w:hAnsi="Times New Roman" w:eastAsia="宋体"/>
                <w:color w:val="auto"/>
                <w:sz w:val="24"/>
                <w:szCs w:val="24"/>
              </w:rPr>
              <w:t>。</w:t>
            </w:r>
          </w:p>
          <w:p>
            <w:pPr>
              <w:pStyle w:val="14"/>
              <w:numPr>
                <w:ilvl w:val="0"/>
                <w:numId w:val="4"/>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color w:val="auto"/>
                <w:sz w:val="24"/>
                <w:szCs w:val="24"/>
                <w:lang w:eastAsia="zh-CN"/>
              </w:rPr>
              <w:t>绿化降噪。</w:t>
            </w:r>
          </w:p>
          <w:p>
            <w:pPr>
              <w:pStyle w:val="14"/>
              <w:numPr>
                <w:ilvl w:val="0"/>
                <w:numId w:val="4"/>
              </w:num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color w:val="auto"/>
                <w:sz w:val="24"/>
                <w:szCs w:val="24"/>
                <w:lang w:eastAsia="zh-CN"/>
              </w:rPr>
              <w:t>涂装废气装置设置独立的隔声间，设置基础减振。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lang w:val="en-US" w:eastAsia="zh-CN"/>
              </w:rPr>
              <w:t>5</w:t>
            </w:r>
            <w:r>
              <w:rPr>
                <w:rFonts w:hint="eastAsia" w:ascii="Times New Roman" w:hAnsi="Times New Roman"/>
                <w:b/>
                <w:sz w:val="24"/>
                <w:szCs w:val="24"/>
              </w:rPr>
              <w:t>、固废</w:t>
            </w:r>
            <w:r>
              <w:rPr>
                <w:rFonts w:hint="eastAsia" w:ascii="Times New Roman" w:hAnsi="Times New Roman"/>
                <w:b/>
                <w:sz w:val="24"/>
                <w:szCs w:val="24"/>
                <w:lang w:val="en-US" w:eastAsia="zh-CN"/>
              </w:rPr>
              <w:t xml:space="preserve">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spacing w:val="0"/>
                <w:kern w:val="2"/>
                <w:sz w:val="24"/>
                <w:szCs w:val="24"/>
                <w:highlight w:val="none"/>
                <w:lang w:val="en-US" w:eastAsia="zh-CN" w:bidi="ar-SA"/>
              </w:rPr>
            </w:pPr>
            <w:r>
              <w:rPr>
                <w:rFonts w:hint="eastAsia" w:ascii="Times New Roman" w:hAnsi="Times New Roman" w:eastAsia="宋体"/>
                <w:spacing w:val="0"/>
                <w:kern w:val="2"/>
                <w:sz w:val="24"/>
                <w:szCs w:val="24"/>
                <w:lang w:val="en-US" w:eastAsia="zh-CN" w:bidi="ar-SA"/>
              </w:rPr>
              <w:t>运营期产生的固体废物包括一般固废和危险废物，一般固废包括生活垃圾、废包装材料、水性清洗剂废桶、单晶金刚石抛光液废桶、清洗废水沉渣、样品实验室磨片过程（物理实验）中产生的沉渣等。危险废物包括含油手套和棉纱、粘合剂废桶、防锈油废桶、润滑液废桶、废齿轮油、废水处理站污泥、废活性炭、</w:t>
            </w:r>
            <w:r>
              <w:rPr>
                <w:rFonts w:hint="eastAsia" w:ascii="Times New Roman" w:hAnsi="Times New Roman" w:eastAsia="宋体"/>
                <w:spacing w:val="0"/>
                <w:kern w:val="2"/>
                <w:sz w:val="24"/>
                <w:szCs w:val="24"/>
                <w:highlight w:val="none"/>
                <w:lang w:val="en-US" w:eastAsia="zh-CN" w:bidi="ar-SA"/>
              </w:rPr>
              <w:t>稀释剂废桶、涂料废桶、喷漆沉渣等。</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color w:val="auto"/>
                <w:sz w:val="24"/>
                <w:szCs w:val="24"/>
              </w:rPr>
            </w:pPr>
            <w:r>
              <w:rPr>
                <w:rFonts w:hint="eastAsia" w:ascii="Times New Roman" w:hAnsi="Times New Roman"/>
                <w:spacing w:val="0"/>
                <w:kern w:val="2"/>
                <w:sz w:val="24"/>
                <w:szCs w:val="24"/>
                <w:highlight w:val="none"/>
                <w:lang w:val="en-US" w:eastAsia="zh-CN" w:bidi="ar-SA"/>
              </w:rPr>
              <w:t>治理措施：</w:t>
            </w:r>
            <w:r>
              <w:rPr>
                <w:rFonts w:hint="eastAsia" w:ascii="Times New Roman" w:hAnsi="Times New Roman" w:eastAsia="宋体"/>
                <w:spacing w:val="0"/>
                <w:kern w:val="2"/>
                <w:sz w:val="24"/>
                <w:szCs w:val="24"/>
                <w:lang w:val="en-US" w:eastAsia="zh-CN" w:bidi="ar-SA"/>
              </w:rPr>
              <w:t>废包装材料、水性清洗剂废桶、单晶金刚石抛光液废桶、清洗废水沉渣、样品实验室磨片过程（物理实验）中产生的沉渣外售给废品收购站；</w:t>
            </w:r>
            <w:r>
              <w:rPr>
                <w:rFonts w:hint="eastAsia" w:ascii="Times New Roman" w:hAnsi="Times New Roman"/>
                <w:sz w:val="24"/>
                <w:szCs w:val="24"/>
              </w:rPr>
              <w:t>办公生活垃圾交由环卫统一清运处理。</w:t>
            </w:r>
            <w:r>
              <w:rPr>
                <w:rFonts w:hint="eastAsia" w:ascii="Times New Roman" w:hAnsi="Times New Roman" w:eastAsia="宋体"/>
                <w:spacing w:val="0"/>
                <w:kern w:val="2"/>
                <w:sz w:val="24"/>
                <w:szCs w:val="24"/>
                <w:lang w:val="en-US" w:eastAsia="zh-CN" w:bidi="ar-SA"/>
              </w:rPr>
              <w:t>含油手套和棉纱、粘合剂废桶、防锈油废桶、润滑液废桶、废齿轮油、废水处理站污泥、废活性炭、</w:t>
            </w:r>
            <w:r>
              <w:rPr>
                <w:rFonts w:hint="eastAsia" w:ascii="Times New Roman" w:hAnsi="Times New Roman" w:eastAsia="宋体"/>
                <w:spacing w:val="0"/>
                <w:kern w:val="2"/>
                <w:sz w:val="24"/>
                <w:szCs w:val="24"/>
                <w:highlight w:val="none"/>
                <w:lang w:val="en-US" w:eastAsia="zh-CN" w:bidi="ar-SA"/>
              </w:rPr>
              <w:t>稀释剂废桶、涂料废桶、</w:t>
            </w:r>
            <w:r>
              <w:rPr>
                <w:rFonts w:hint="eastAsia" w:ascii="Times New Roman" w:hAnsi="Times New Roman" w:eastAsia="宋体"/>
                <w:color w:val="auto"/>
                <w:spacing w:val="-6"/>
                <w:kern w:val="2"/>
                <w:sz w:val="24"/>
                <w:szCs w:val="24"/>
                <w:lang w:val="en-US" w:eastAsia="zh-CN" w:bidi="ar-SA"/>
              </w:rPr>
              <w:t>喷漆沉渣交由四川中明环境治理有限公司统一处理。目前各项环保设施运行正常。涂装废气装置运行维护记录、废水处理站运行维护记录、危废管理台账</w:t>
            </w:r>
            <w:r>
              <w:rPr>
                <w:rFonts w:hint="eastAsia" w:ascii="Times New Roman" w:hAnsi="Times New Roman"/>
                <w:color w:val="auto"/>
                <w:spacing w:val="-6"/>
                <w:kern w:val="2"/>
                <w:sz w:val="24"/>
                <w:szCs w:val="24"/>
                <w:lang w:val="en-US" w:eastAsia="zh-CN" w:bidi="ar-SA"/>
              </w:rPr>
              <w:t>有专人负责维护记录。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三、验收监测结果</w:t>
            </w:r>
            <w:r>
              <w:rPr>
                <w:rFonts w:hint="eastAsia" w:ascii="Times New Roman" w:hAnsi="Times New Roman"/>
                <w:b/>
                <w:sz w:val="24"/>
                <w:szCs w:val="24"/>
              </w:rPr>
              <w:tab/>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根据四川中衡检测技术有限公司编制的《建设项目竣工环境保护验收监测表》（</w:t>
            </w:r>
            <w:r>
              <w:rPr>
                <w:rFonts w:hint="eastAsia" w:ascii="Times New Roman" w:hAnsi="Times New Roman"/>
                <w:sz w:val="24"/>
                <w:szCs w:val="24"/>
                <w:lang w:eastAsia="zh-CN"/>
              </w:rPr>
              <w:t>中衡检测验字</w:t>
            </w:r>
            <w:r>
              <w:rPr>
                <w:rFonts w:hint="eastAsia" w:ascii="Times New Roman" w:hAnsi="Times New Roman"/>
                <w:sz w:val="24"/>
                <w:szCs w:val="24"/>
                <w:lang w:val="en-US" w:eastAsia="zh-CN"/>
              </w:rPr>
              <w:t>[2017]第223号</w:t>
            </w:r>
            <w:r>
              <w:rPr>
                <w:rFonts w:hint="eastAsia" w:ascii="Times New Roman" w:hAnsi="Times New Roman"/>
                <w:sz w:val="24"/>
                <w:szCs w:val="24"/>
              </w:rPr>
              <w:t>），验收监测结论如下：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1.废水监测结果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验收监测期间，</w:t>
            </w:r>
            <w:r>
              <w:rPr>
                <w:rFonts w:hint="eastAsia" w:ascii="Times New Roman" w:hAnsi="Times New Roman"/>
                <w:sz w:val="24"/>
                <w:szCs w:val="24"/>
                <w:lang w:eastAsia="zh-CN"/>
              </w:rPr>
              <w:t>厂区总排口的</w:t>
            </w:r>
            <w:r>
              <w:rPr>
                <w:rFonts w:ascii="Times New Roman" w:hAnsi="Times New Roman" w:eastAsia="宋体"/>
                <w:color w:val="auto"/>
                <w:sz w:val="24"/>
                <w:szCs w:val="24"/>
              </w:rPr>
              <w:t>所测</w:t>
            </w:r>
            <w:r>
              <w:rPr>
                <w:rFonts w:hint="eastAsia" w:ascii="Times New Roman" w:hAnsi="Times New Roman" w:eastAsia="宋体"/>
                <w:color w:val="auto"/>
                <w:sz w:val="24"/>
                <w:szCs w:val="24"/>
              </w:rPr>
              <w:t>的pH值、COD、BOD</w:t>
            </w:r>
            <w:r>
              <w:rPr>
                <w:rFonts w:hint="eastAsia" w:ascii="Times New Roman" w:hAnsi="Times New Roman" w:eastAsia="宋体"/>
                <w:color w:val="auto"/>
                <w:sz w:val="24"/>
                <w:szCs w:val="24"/>
                <w:vertAlign w:val="subscript"/>
              </w:rPr>
              <w:t>5</w:t>
            </w:r>
            <w:r>
              <w:rPr>
                <w:rFonts w:hint="eastAsia" w:ascii="Times New Roman" w:hAnsi="Times New Roman" w:eastAsia="宋体"/>
                <w:color w:val="auto"/>
                <w:sz w:val="24"/>
                <w:szCs w:val="24"/>
              </w:rPr>
              <w:t>、SS、阴离子表面活性剂、动植物油均</w:t>
            </w:r>
            <w:r>
              <w:rPr>
                <w:rFonts w:ascii="Times New Roman" w:hAnsi="Times New Roman" w:eastAsia="宋体"/>
                <w:color w:val="auto"/>
                <w:sz w:val="24"/>
                <w:szCs w:val="24"/>
              </w:rPr>
              <w:t>满足</w:t>
            </w:r>
            <w:r>
              <w:rPr>
                <w:rFonts w:hint="eastAsia" w:ascii="Times New Roman" w:hAnsi="Times New Roman" w:eastAsia="宋体"/>
                <w:color w:val="auto"/>
                <w:sz w:val="24"/>
                <w:szCs w:val="24"/>
              </w:rPr>
              <w:t>执行《污水综合排放标准》（GB8978-1996）表4中</w:t>
            </w:r>
            <w:r>
              <w:rPr>
                <w:rFonts w:hint="eastAsia" w:ascii="Times New Roman" w:hAnsi="Times New Roman" w:eastAsia="宋体" w:cs="宋体"/>
                <w:color w:val="auto"/>
                <w:sz w:val="24"/>
                <w:szCs w:val="24"/>
              </w:rPr>
              <w:t>3级标准限值；氨氮满足《污水排入城镇下水道水质标准》（GB/T31962-2015）表1中B级标准</w:t>
            </w:r>
            <w:r>
              <w:rPr>
                <w:rFonts w:hint="eastAsia" w:ascii="Times New Roman" w:hAnsi="Times New Roman"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2.废气监测结果</w:t>
            </w:r>
          </w:p>
          <w:p>
            <w:pPr>
              <w:spacing w:line="360" w:lineRule="auto"/>
              <w:ind w:firstLine="480" w:firstLineChars="200"/>
              <w:rPr>
                <w:rFonts w:hint="eastAsia"/>
                <w:sz w:val="24"/>
                <w:szCs w:val="24"/>
              </w:rPr>
            </w:pPr>
            <w:r>
              <w:rPr>
                <w:rFonts w:hint="eastAsia"/>
                <w:sz w:val="24"/>
                <w:szCs w:val="24"/>
              </w:rPr>
              <w:t>验收监测期间，本项目的有组织排放废气（挥发性有机物、甲苯、二甲苯）监测结果均符合</w:t>
            </w:r>
            <w:r>
              <w:rPr>
                <w:rFonts w:hint="eastAsia"/>
                <w:sz w:val="24"/>
                <w:szCs w:val="24"/>
                <w:lang w:eastAsia="zh-CN"/>
              </w:rPr>
              <w:t>《工业企业挥发性有机物排放控制标准》DB12/524-2014表2中表面涂装废气烘干工艺最高允许排放浓度和最高允许排放速率。</w:t>
            </w:r>
          </w:p>
          <w:p>
            <w:pPr>
              <w:spacing w:line="360" w:lineRule="auto"/>
              <w:ind w:right="-196" w:rightChars="-70" w:firstLine="480" w:firstLineChars="200"/>
              <w:rPr>
                <w:rFonts w:hint="eastAsia"/>
                <w:sz w:val="24"/>
                <w:szCs w:val="24"/>
              </w:rPr>
            </w:pPr>
            <w:r>
              <w:rPr>
                <w:rFonts w:hint="eastAsia"/>
                <w:sz w:val="24"/>
                <w:szCs w:val="24"/>
              </w:rPr>
              <w:t>验收监测期间，有组织排放废气（饮食业油烟）监测结果均符合《饮食业油烟排放标准（试行）》GB18483-2001表2中最高允许排放浓度限值。</w:t>
            </w:r>
          </w:p>
          <w:p>
            <w:pPr>
              <w:spacing w:line="360" w:lineRule="auto"/>
              <w:ind w:firstLine="480" w:firstLineChars="200"/>
              <w:rPr>
                <w:sz w:val="24"/>
                <w:szCs w:val="24"/>
              </w:rPr>
            </w:pPr>
            <w:r>
              <w:rPr>
                <w:rFonts w:hint="eastAsia"/>
                <w:sz w:val="24"/>
                <w:szCs w:val="24"/>
              </w:rPr>
              <w:t>验收监测期间，无组织废气颗粒物监测结果均符合《大气污染物综合排放标准》GB16297-1996表2中无组织排放监控浓度限值。无组织废气（挥发性有机物、甲苯、二甲苯）监测结果均符合</w:t>
            </w:r>
            <w:r>
              <w:rPr>
                <w:rFonts w:hint="eastAsia"/>
                <w:color w:val="000000"/>
                <w:sz w:val="24"/>
                <w:szCs w:val="24"/>
              </w:rPr>
              <w:t>《工业企业挥发性有机物排放控制标准》DB12/524-2014表</w:t>
            </w:r>
            <w:r>
              <w:rPr>
                <w:rFonts w:hint="eastAsia"/>
                <w:color w:val="000000"/>
                <w:sz w:val="24"/>
                <w:szCs w:val="24"/>
                <w:lang w:val="en-US" w:eastAsia="zh-CN"/>
              </w:rPr>
              <w:t>5</w:t>
            </w:r>
            <w:r>
              <w:rPr>
                <w:rFonts w:hint="eastAsia"/>
                <w:color w:val="000000"/>
                <w:sz w:val="24"/>
                <w:szCs w:val="24"/>
              </w:rPr>
              <w:t>中其他行业</w:t>
            </w:r>
            <w:r>
              <w:rPr>
                <w:rFonts w:hint="eastAsia"/>
                <w:color w:val="000000"/>
                <w:sz w:val="24"/>
                <w:szCs w:val="24"/>
                <w:lang w:eastAsia="zh-CN"/>
              </w:rPr>
              <w:t>厂界监控点浓度限值。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3.噪声监测结果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验收监测期间，厂界环境噪声满足《工业企业厂界环境噪声标准》（GB12348-2008）表1中</w:t>
            </w:r>
            <w:r>
              <w:rPr>
                <w:rFonts w:hint="eastAsia" w:ascii="Times New Roman" w:hAnsi="Times New Roman"/>
                <w:sz w:val="24"/>
                <w:szCs w:val="24"/>
                <w:lang w:val="en-US" w:eastAsia="zh-CN"/>
              </w:rPr>
              <w:t>3</w:t>
            </w:r>
            <w:r>
              <w:rPr>
                <w:rFonts w:hint="eastAsia" w:ascii="Times New Roman" w:hAnsi="Times New Roman"/>
                <w:sz w:val="24"/>
                <w:szCs w:val="24"/>
              </w:rPr>
              <w:t>类功能区标准。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4.固体废弃物处置情况检查结果</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spacing w:val="0"/>
                <w:kern w:val="2"/>
                <w:sz w:val="24"/>
                <w:szCs w:val="24"/>
                <w:highlight w:val="none"/>
                <w:lang w:val="en-US" w:eastAsia="zh-CN" w:bidi="ar-SA"/>
              </w:rPr>
            </w:pPr>
            <w:r>
              <w:rPr>
                <w:rFonts w:hint="eastAsia" w:ascii="Times New Roman" w:hAnsi="Times New Roman" w:eastAsia="宋体"/>
                <w:spacing w:val="0"/>
                <w:kern w:val="2"/>
                <w:sz w:val="24"/>
                <w:szCs w:val="24"/>
                <w:lang w:val="en-US" w:eastAsia="zh-CN" w:bidi="ar-SA"/>
              </w:rPr>
              <w:t>运营期产生的固体废物包括一般固废和危险废物，一般固废包括生活垃圾、废包装材料、水性清洗剂废桶、单晶金刚石抛光液废桶、清洗废水沉渣、样品实验室磨片过程（物理实验）中产生的沉渣等。危险废物包括含油手套和棉纱、粘合剂废桶、防锈油废桶、润滑液废桶、废齿轮油、废水处理站污泥、废活性炭、</w:t>
            </w:r>
            <w:r>
              <w:rPr>
                <w:rFonts w:hint="eastAsia" w:ascii="Times New Roman" w:hAnsi="Times New Roman" w:eastAsia="宋体"/>
                <w:spacing w:val="0"/>
                <w:kern w:val="2"/>
                <w:sz w:val="24"/>
                <w:szCs w:val="24"/>
                <w:highlight w:val="none"/>
                <w:lang w:val="en-US" w:eastAsia="zh-CN" w:bidi="ar-SA"/>
              </w:rPr>
              <w:t>稀释剂废桶、涂料废桶、喷漆沉渣等。</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leftChars="0" w:right="0" w:rightChars="0" w:firstLine="600"/>
              <w:jc w:val="both"/>
              <w:textAlignment w:val="auto"/>
              <w:outlineLvl w:val="9"/>
              <w:rPr>
                <w:rFonts w:hint="eastAsia" w:ascii="Times New Roman" w:hAnsi="Times New Roman" w:eastAsia="宋体"/>
                <w:color w:val="auto"/>
                <w:sz w:val="24"/>
                <w:szCs w:val="24"/>
              </w:rPr>
            </w:pPr>
            <w:r>
              <w:rPr>
                <w:rFonts w:hint="eastAsia" w:ascii="Times New Roman" w:hAnsi="Times New Roman"/>
                <w:spacing w:val="0"/>
                <w:kern w:val="2"/>
                <w:sz w:val="24"/>
                <w:szCs w:val="24"/>
                <w:highlight w:val="none"/>
                <w:lang w:val="en-US" w:eastAsia="zh-CN" w:bidi="ar-SA"/>
              </w:rPr>
              <w:t>治理措施：</w:t>
            </w:r>
            <w:r>
              <w:rPr>
                <w:rFonts w:hint="eastAsia" w:ascii="Times New Roman" w:hAnsi="Times New Roman" w:eastAsia="宋体"/>
                <w:spacing w:val="0"/>
                <w:kern w:val="2"/>
                <w:sz w:val="24"/>
                <w:szCs w:val="24"/>
                <w:lang w:val="en-US" w:eastAsia="zh-CN" w:bidi="ar-SA"/>
              </w:rPr>
              <w:t>废包装材料、水性清洗剂废桶、单晶金刚石抛光液废桶、清洗废水沉渣、样品实验室磨片过程（物理实验）中产生的沉渣外售给废品收购站；</w:t>
            </w:r>
            <w:r>
              <w:rPr>
                <w:rFonts w:hint="eastAsia" w:ascii="Times New Roman" w:hAnsi="Times New Roman"/>
                <w:sz w:val="24"/>
                <w:szCs w:val="24"/>
              </w:rPr>
              <w:t>办公生活垃圾交由环卫统一清运处理。</w:t>
            </w:r>
            <w:r>
              <w:rPr>
                <w:rFonts w:hint="eastAsia" w:ascii="Times New Roman" w:hAnsi="Times New Roman" w:eastAsia="宋体"/>
                <w:spacing w:val="0"/>
                <w:kern w:val="2"/>
                <w:sz w:val="24"/>
                <w:szCs w:val="24"/>
                <w:lang w:val="en-US" w:eastAsia="zh-CN" w:bidi="ar-SA"/>
              </w:rPr>
              <w:t>含油手套和棉纱、粘合剂废桶、防锈油废桶、润滑液废桶、废齿轮油、废水处理站污泥、废活性炭、</w:t>
            </w:r>
            <w:r>
              <w:rPr>
                <w:rFonts w:hint="eastAsia" w:ascii="Times New Roman" w:hAnsi="Times New Roman" w:eastAsia="宋体"/>
                <w:spacing w:val="0"/>
                <w:kern w:val="2"/>
                <w:sz w:val="24"/>
                <w:szCs w:val="24"/>
                <w:highlight w:val="none"/>
                <w:lang w:val="en-US" w:eastAsia="zh-CN" w:bidi="ar-SA"/>
              </w:rPr>
              <w:t>稀释剂废桶、涂料废桶、</w:t>
            </w:r>
            <w:r>
              <w:rPr>
                <w:rFonts w:hint="eastAsia" w:ascii="Times New Roman" w:hAnsi="Times New Roman" w:eastAsia="宋体"/>
                <w:color w:val="auto"/>
                <w:spacing w:val="-6"/>
                <w:kern w:val="2"/>
                <w:sz w:val="24"/>
                <w:szCs w:val="24"/>
                <w:lang w:val="en-US" w:eastAsia="zh-CN" w:bidi="ar-SA"/>
              </w:rPr>
              <w:t>喷漆沉渣交由四川中明环境治理有限公司统一处理。目前各项环保设施运行正常。涂装废气装置运行维护记录、废水处理站运行维护记录、危废管理台账</w:t>
            </w:r>
            <w:r>
              <w:rPr>
                <w:rFonts w:hint="eastAsia" w:ascii="Times New Roman" w:hAnsi="Times New Roman"/>
                <w:color w:val="auto"/>
                <w:spacing w:val="-6"/>
                <w:kern w:val="2"/>
                <w:sz w:val="24"/>
                <w:szCs w:val="24"/>
                <w:lang w:val="en-US" w:eastAsia="zh-CN" w:bidi="ar-SA"/>
              </w:rPr>
              <w:t>有专人负责维护记录。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ascii="Times New Roman" w:hAnsi="Times New Roman"/>
                <w:b/>
                <w:sz w:val="24"/>
                <w:szCs w:val="24"/>
              </w:rPr>
            </w:pPr>
            <w:r>
              <w:rPr>
                <w:rFonts w:hint="eastAsia" w:ascii="Times New Roman" w:hAnsi="Times New Roman"/>
                <w:b/>
                <w:sz w:val="24"/>
                <w:szCs w:val="24"/>
              </w:rPr>
              <w:t>5.</w:t>
            </w:r>
            <w:r>
              <w:rPr>
                <w:rFonts w:ascii="Times New Roman" w:hAnsi="Times New Roman"/>
                <w:b/>
                <w:sz w:val="24"/>
                <w:szCs w:val="24"/>
              </w:rPr>
              <w:t xml:space="preserve"> 污染物排放总量验收结论</w:t>
            </w:r>
          </w:p>
          <w:p>
            <w:pPr>
              <w:adjustRightInd w:val="0"/>
              <w:snapToGrid w:val="0"/>
              <w:spacing w:line="360" w:lineRule="auto"/>
              <w:ind w:firstLine="480" w:firstLineChars="200"/>
              <w:rPr>
                <w:rFonts w:hint="default" w:ascii="Times New Roman" w:hAnsi="Times New Roman" w:cs="Times New Roman"/>
                <w:sz w:val="24"/>
                <w:szCs w:val="24"/>
              </w:rPr>
            </w:pPr>
            <w:r>
              <w:rPr>
                <w:rFonts w:hint="eastAsia" w:ascii="Times New Roman" w:hAnsi="Times New Roman"/>
                <w:sz w:val="24"/>
                <w:szCs w:val="24"/>
              </w:rPr>
              <w:t>本项目</w:t>
            </w:r>
            <w:r>
              <w:rPr>
                <w:rFonts w:ascii="Times New Roman" w:hAnsi="Times New Roman"/>
                <w:sz w:val="24"/>
                <w:szCs w:val="24"/>
              </w:rPr>
              <w:t>污染物排</w:t>
            </w:r>
            <w:r>
              <w:rPr>
                <w:rFonts w:hint="eastAsia" w:ascii="Times New Roman" w:hAnsi="Times New Roman"/>
                <w:sz w:val="24"/>
                <w:szCs w:val="24"/>
              </w:rPr>
              <w:t>放总量控制指标：</w:t>
            </w:r>
            <w:r>
              <w:rPr>
                <w:rFonts w:hint="default" w:ascii="Times New Roman" w:hAnsi="Times New Roman" w:cs="Times New Roman"/>
                <w:color w:val="000000"/>
                <w:sz w:val="24"/>
                <w:szCs w:val="24"/>
                <w:highlight w:val="none"/>
              </w:rPr>
              <w:t>VOC</w:t>
            </w:r>
            <w:r>
              <w:rPr>
                <w:rFonts w:hint="default" w:ascii="Times New Roman" w:hAnsi="Times New Roman" w:cs="Times New Roman"/>
                <w:color w:val="000000"/>
                <w:sz w:val="24"/>
                <w:szCs w:val="24"/>
                <w:highlight w:val="none"/>
                <w:vertAlign w:val="subscript"/>
              </w:rPr>
              <w:t>S</w:t>
            </w:r>
            <w:r>
              <w:rPr>
                <w:rFonts w:hint="default" w:ascii="Times New Roman" w:hAnsi="Times New Roman" w:cs="Times New Roman"/>
                <w:color w:val="000000"/>
                <w:sz w:val="24"/>
                <w:szCs w:val="24"/>
                <w:highlight w:val="none"/>
              </w:rPr>
              <w:t>：0.266t/a、COD：</w:t>
            </w:r>
            <w:r>
              <w:rPr>
                <w:rFonts w:hint="eastAsia" w:ascii="Times New Roman" w:hAnsi="Times New Roman" w:cs="Times New Roman"/>
                <w:color w:val="000000"/>
                <w:sz w:val="24"/>
                <w:szCs w:val="24"/>
                <w:highlight w:val="none"/>
                <w:lang w:val="en-US" w:eastAsia="zh-CN"/>
              </w:rPr>
              <w:t>0.167</w:t>
            </w:r>
            <w:r>
              <w:rPr>
                <w:rFonts w:hint="default" w:ascii="Times New Roman" w:hAnsi="Times New Roman" w:cs="Times New Roman"/>
                <w:color w:val="000000"/>
                <w:sz w:val="24"/>
                <w:szCs w:val="24"/>
                <w:highlight w:val="none"/>
              </w:rPr>
              <w:t>t/a、</w:t>
            </w:r>
            <w:r>
              <w:rPr>
                <w:rFonts w:hint="default" w:ascii="Times New Roman" w:hAnsi="Times New Roman" w:cs="Times New Roman"/>
                <w:sz w:val="24"/>
                <w:szCs w:val="24"/>
                <w:highlight w:val="none"/>
              </w:rPr>
              <w:t>NH</w:t>
            </w:r>
            <w:r>
              <w:rPr>
                <w:rFonts w:hint="default" w:ascii="Times New Roman" w:hAnsi="Times New Roman" w:cs="Times New Roman"/>
                <w:spacing w:val="1"/>
                <w:position w:val="-2"/>
                <w:sz w:val="24"/>
                <w:szCs w:val="24"/>
                <w:highlight w:val="none"/>
              </w:rPr>
              <w:t>3</w:t>
            </w:r>
            <w:r>
              <w:rPr>
                <w:rFonts w:hint="default" w:ascii="Times New Roman" w:hAnsi="Times New Roman" w:cs="Times New Roman"/>
                <w:sz w:val="24"/>
                <w:szCs w:val="24"/>
                <w:highlight w:val="none"/>
              </w:rPr>
              <w:t>-N：</w:t>
            </w:r>
            <w:r>
              <w:rPr>
                <w:rFonts w:hint="default" w:ascii="Times New Roman" w:hAnsi="Times New Roman" w:cs="Times New Roman"/>
                <w:color w:val="000000"/>
                <w:sz w:val="24"/>
                <w:szCs w:val="24"/>
                <w:highlight w:val="none"/>
              </w:rPr>
              <w:t>0.</w:t>
            </w:r>
            <w:r>
              <w:rPr>
                <w:rFonts w:hint="eastAsia" w:ascii="Times New Roman" w:hAnsi="Times New Roman" w:cs="Times New Roman"/>
                <w:color w:val="000000"/>
                <w:sz w:val="24"/>
                <w:szCs w:val="24"/>
                <w:highlight w:val="none"/>
                <w:lang w:val="en-US" w:eastAsia="zh-CN"/>
              </w:rPr>
              <w:t>043</w:t>
            </w:r>
            <w:r>
              <w:rPr>
                <w:rFonts w:hint="default" w:ascii="Times New Roman" w:hAnsi="Times New Roman" w:cs="Times New Roman"/>
                <w:color w:val="000000"/>
                <w:sz w:val="24"/>
                <w:szCs w:val="24"/>
                <w:highlight w:val="none"/>
              </w:rPr>
              <w:t>t/a。</w:t>
            </w:r>
            <w:r>
              <w:rPr>
                <w:rFonts w:hint="eastAsia"/>
                <w:color w:val="000000"/>
                <w:sz w:val="24"/>
                <w:szCs w:val="24"/>
                <w:highlight w:val="none"/>
              </w:rPr>
              <w:t>VOC</w:t>
            </w:r>
            <w:r>
              <w:rPr>
                <w:rFonts w:hint="eastAsia"/>
                <w:color w:val="000000"/>
                <w:sz w:val="24"/>
                <w:szCs w:val="24"/>
                <w:highlight w:val="none"/>
                <w:vertAlign w:val="subscript"/>
              </w:rPr>
              <w:t>S</w:t>
            </w:r>
            <w:r>
              <w:rPr>
                <w:rFonts w:hint="eastAsia"/>
                <w:color w:val="000000"/>
                <w:sz w:val="24"/>
                <w:szCs w:val="24"/>
                <w:highlight w:val="none"/>
              </w:rPr>
              <w:t>的总量小于环评总量控制指标。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6.公众意见调查结果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70" w:firstLineChars="196"/>
              <w:textAlignment w:val="auto"/>
              <w:outlineLvl w:val="9"/>
              <w:rPr>
                <w:rFonts w:hint="eastAsia" w:ascii="Times New Roman" w:hAnsi="Times New Roman"/>
                <w:sz w:val="24"/>
                <w:szCs w:val="24"/>
              </w:rPr>
            </w:pPr>
            <w:r>
              <w:rPr>
                <w:rFonts w:hint="eastAsia" w:ascii="Times New Roman" w:hAnsi="Times New Roman"/>
                <w:sz w:val="24"/>
                <w:szCs w:val="24"/>
              </w:rPr>
              <w:t>对项目区域范围内公众</w:t>
            </w:r>
            <w:r>
              <w:rPr>
                <w:rFonts w:ascii="Times New Roman" w:hAnsi="Times New Roman"/>
                <w:sz w:val="24"/>
                <w:szCs w:val="24"/>
              </w:rPr>
              <w:t>发放</w:t>
            </w:r>
            <w:r>
              <w:rPr>
                <w:rFonts w:hint="eastAsia" w:ascii="Times New Roman" w:hAnsi="Times New Roman"/>
                <w:sz w:val="24"/>
                <w:szCs w:val="24"/>
                <w:lang w:val="en-US" w:eastAsia="zh-CN"/>
              </w:rPr>
              <w:t>5</w:t>
            </w:r>
            <w:r>
              <w:rPr>
                <w:rFonts w:hint="eastAsia" w:ascii="Times New Roman" w:hAnsi="Times New Roman"/>
                <w:sz w:val="24"/>
                <w:szCs w:val="24"/>
              </w:rPr>
              <w:t>0</w:t>
            </w:r>
            <w:r>
              <w:rPr>
                <w:rFonts w:ascii="Times New Roman" w:hAnsi="Times New Roman"/>
                <w:sz w:val="24"/>
                <w:szCs w:val="24"/>
              </w:rPr>
              <w:t>份</w:t>
            </w:r>
            <w:r>
              <w:rPr>
                <w:rFonts w:hint="eastAsia" w:ascii="Times New Roman" w:hAnsi="Times New Roman"/>
                <w:sz w:val="24"/>
                <w:szCs w:val="24"/>
              </w:rPr>
              <w:t>公众意见</w:t>
            </w:r>
            <w:r>
              <w:rPr>
                <w:rFonts w:ascii="Times New Roman" w:hAnsi="Times New Roman"/>
                <w:sz w:val="24"/>
                <w:szCs w:val="24"/>
              </w:rPr>
              <w:t>调查表，收回有效表为</w:t>
            </w:r>
            <w:r>
              <w:rPr>
                <w:rFonts w:hint="eastAsia" w:ascii="Times New Roman" w:hAnsi="Times New Roman"/>
                <w:sz w:val="24"/>
                <w:szCs w:val="24"/>
                <w:lang w:val="en-US" w:eastAsia="zh-CN"/>
              </w:rPr>
              <w:t>5</w:t>
            </w:r>
            <w:r>
              <w:rPr>
                <w:rFonts w:hint="eastAsia" w:ascii="Times New Roman" w:hAnsi="Times New Roman"/>
                <w:sz w:val="24"/>
                <w:szCs w:val="24"/>
              </w:rPr>
              <w:t>0</w:t>
            </w:r>
            <w:r>
              <w:rPr>
                <w:rFonts w:ascii="Times New Roman" w:hAnsi="Times New Roman"/>
                <w:sz w:val="24"/>
                <w:szCs w:val="24"/>
              </w:rPr>
              <w:t>份，回收率为</w:t>
            </w:r>
            <w:r>
              <w:rPr>
                <w:rFonts w:hint="eastAsia" w:ascii="Times New Roman" w:hAnsi="Times New Roman"/>
                <w:sz w:val="24"/>
                <w:szCs w:val="24"/>
              </w:rPr>
              <w:t>100</w:t>
            </w:r>
            <w:r>
              <w:rPr>
                <w:rFonts w:ascii="Times New Roman" w:hAnsi="Times New Roman"/>
                <w:sz w:val="24"/>
                <w:szCs w:val="24"/>
              </w:rPr>
              <w:t>%，调查对象主要是</w:t>
            </w:r>
            <w:r>
              <w:rPr>
                <w:rFonts w:hint="eastAsia" w:ascii="Times New Roman" w:hAnsi="Times New Roman"/>
                <w:sz w:val="24"/>
                <w:szCs w:val="24"/>
              </w:rPr>
              <w:t>当地居民</w:t>
            </w:r>
            <w:r>
              <w:rPr>
                <w:rFonts w:hint="eastAsia" w:ascii="Times New Roman" w:hAnsi="Times New Roman"/>
                <w:sz w:val="24"/>
                <w:szCs w:val="24"/>
                <w:lang w:eastAsia="zh-CN"/>
              </w:rPr>
              <w:t>和周围公司员工</w:t>
            </w:r>
            <w:r>
              <w:rPr>
                <w:rFonts w:hint="eastAsia" w:ascii="Times New Roman" w:hAnsi="Times New Roman"/>
                <w:sz w:val="24"/>
                <w:szCs w:val="24"/>
              </w:rPr>
              <w:t>，具有一定代表性</w:t>
            </w:r>
            <w:r>
              <w:rPr>
                <w:rFonts w:ascii="Times New Roman" w:hAnsi="Times New Roman"/>
                <w:sz w:val="24"/>
                <w:szCs w:val="24"/>
              </w:rPr>
              <w:t>。</w:t>
            </w:r>
            <w:r>
              <w:rPr>
                <w:rFonts w:hint="eastAsia" w:ascii="Times New Roman" w:hAnsi="Times New Roman"/>
                <w:sz w:val="24"/>
                <w:szCs w:val="24"/>
              </w:rPr>
              <w:t>经统计72%被调查者对项目环境保护状况表示满意。</w:t>
            </w:r>
            <w:r>
              <w:rPr>
                <w:rFonts w:hint="eastAsia" w:ascii="Times New Roman" w:hAnsi="Times New Roman"/>
                <w:sz w:val="24"/>
                <w:szCs w:val="24"/>
                <w:lang w:eastAsia="zh-CN"/>
              </w:rPr>
              <w:t>所有</w:t>
            </w:r>
            <w:r>
              <w:rPr>
                <w:rFonts w:hint="eastAsia" w:ascii="Times New Roman" w:hAnsi="Times New Roman"/>
                <w:sz w:val="24"/>
                <w:szCs w:val="24"/>
              </w:rPr>
              <w:t>被调查者均对该项目环保工作持满意和基本满意态度。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textAlignment w:val="auto"/>
              <w:outlineLvl w:val="9"/>
              <w:rPr>
                <w:rFonts w:hint="eastAsia" w:ascii="Times New Roman" w:hAnsi="Times New Roman"/>
                <w:b/>
                <w:sz w:val="24"/>
                <w:szCs w:val="24"/>
              </w:rPr>
            </w:pPr>
            <w:r>
              <w:rPr>
                <w:rFonts w:hint="eastAsia" w:ascii="Times New Roman" w:hAnsi="Times New Roman"/>
                <w:b/>
                <w:sz w:val="24"/>
                <w:szCs w:val="24"/>
              </w:rPr>
              <w:t>7.环境管理检查</w:t>
            </w:r>
          </w:p>
          <w:p>
            <w:pPr>
              <w:spacing w:line="360" w:lineRule="auto"/>
              <w:ind w:firstLine="456" w:firstLineChars="200"/>
              <w:rPr>
                <w:rFonts w:ascii="Times New Roman" w:hAnsi="Times New Roman" w:eastAsia="宋体"/>
                <w:color w:val="auto"/>
                <w:sz w:val="24"/>
                <w:szCs w:val="24"/>
              </w:rPr>
            </w:pPr>
            <w:r>
              <w:rPr>
                <w:rFonts w:ascii="Times New Roman" w:hAnsi="Times New Roman" w:eastAsia="宋体"/>
                <w:color w:val="auto"/>
                <w:spacing w:val="-6"/>
                <w:sz w:val="24"/>
                <w:szCs w:val="24"/>
              </w:rPr>
              <w:t>四川现代岱摩斯汽车系统有限公司</w:t>
            </w:r>
            <w:r>
              <w:rPr>
                <w:rFonts w:ascii="Times New Roman" w:hAnsi="Times New Roman" w:eastAsia="宋体"/>
                <w:color w:val="auto"/>
                <w:sz w:val="24"/>
                <w:szCs w:val="24"/>
              </w:rPr>
              <w:t>成立了环保组织机构。</w:t>
            </w:r>
            <w:r>
              <w:rPr>
                <w:rFonts w:hint="eastAsia" w:ascii="Times New Roman" w:hAnsi="Times New Roman" w:eastAsia="宋体"/>
                <w:color w:val="auto"/>
                <w:sz w:val="24"/>
                <w:szCs w:val="24"/>
                <w:lang w:eastAsia="zh-CN"/>
              </w:rPr>
              <w:t>由朴炯九任组长，崔泰敏、崔镇赫、吴仁奎、金秀来、黄普焕为成员组成了环境污染防治工作领导小组。负责对公司的环境保护工作进行决策、监督和协调。设立总务部，作为环境污染防治工作的管理部门，负责公司日常管理，负责新扩建项目的“三同时”验收、“三废”排放管理及固体废弃物管理等相关工作。</w:t>
            </w:r>
          </w:p>
          <w:p>
            <w:pPr>
              <w:spacing w:line="360" w:lineRule="auto"/>
              <w:ind w:firstLine="456" w:firstLineChars="200"/>
              <w:rPr>
                <w:rFonts w:ascii="Times New Roman" w:hAnsi="Times New Roman" w:eastAsia="宋体"/>
                <w:color w:val="auto"/>
                <w:sz w:val="24"/>
                <w:szCs w:val="24"/>
              </w:rPr>
            </w:pPr>
            <w:r>
              <w:rPr>
                <w:rFonts w:ascii="Times New Roman" w:hAnsi="Times New Roman" w:eastAsia="宋体"/>
                <w:color w:val="auto"/>
                <w:spacing w:val="-6"/>
                <w:sz w:val="24"/>
                <w:szCs w:val="24"/>
              </w:rPr>
              <w:t>四川现代岱摩斯汽车系统有限公司</w:t>
            </w:r>
            <w:r>
              <w:rPr>
                <w:rFonts w:ascii="Times New Roman" w:hAnsi="Times New Roman" w:eastAsia="宋体"/>
                <w:color w:val="auto"/>
                <w:sz w:val="24"/>
                <w:szCs w:val="24"/>
              </w:rPr>
              <w:t>将环境管理纳入了</w:t>
            </w:r>
            <w:r>
              <w:rPr>
                <w:rFonts w:hint="eastAsia" w:ascii="Times New Roman" w:hAnsi="Times New Roman" w:eastAsia="宋体"/>
                <w:color w:val="auto"/>
                <w:sz w:val="24"/>
                <w:szCs w:val="24"/>
              </w:rPr>
              <w:t>公司</w:t>
            </w:r>
            <w:r>
              <w:rPr>
                <w:rFonts w:ascii="Times New Roman" w:hAnsi="Times New Roman" w:eastAsia="宋体"/>
                <w:color w:val="auto"/>
                <w:sz w:val="24"/>
                <w:szCs w:val="24"/>
              </w:rPr>
              <w:t>日常运行管理当中，在营运过程中建立了</w:t>
            </w:r>
            <w:r>
              <w:rPr>
                <w:rFonts w:hint="eastAsia" w:ascii="Times New Roman" w:hAnsi="Times New Roman" w:eastAsia="宋体"/>
                <w:color w:val="auto"/>
                <w:sz w:val="24"/>
                <w:szCs w:val="24"/>
              </w:rPr>
              <w:t>以《环境污染防治管理制度》和《环境污染防治责任制度》为主的</w:t>
            </w:r>
            <w:r>
              <w:rPr>
                <w:rFonts w:ascii="Times New Roman" w:hAnsi="Times New Roman" w:eastAsia="宋体"/>
                <w:color w:val="auto"/>
                <w:sz w:val="24"/>
                <w:szCs w:val="24"/>
              </w:rPr>
              <w:t>环境管理制度。建立了环境管理体系，</w:t>
            </w:r>
            <w:r>
              <w:rPr>
                <w:rFonts w:hint="eastAsia" w:ascii="Times New Roman" w:hAnsi="Times New Roman" w:eastAsia="宋体"/>
                <w:color w:val="auto"/>
                <w:sz w:val="24"/>
                <w:szCs w:val="24"/>
                <w:lang w:eastAsia="zh-CN"/>
              </w:rPr>
              <w:t>建有突发环境事件应急预案，</w:t>
            </w:r>
            <w:r>
              <w:rPr>
                <w:rFonts w:hint="eastAsia" w:ascii="Times New Roman" w:hAnsi="Times New Roman" w:eastAsia="宋体"/>
                <w:color w:val="auto"/>
                <w:sz w:val="24"/>
                <w:szCs w:val="24"/>
              </w:rPr>
              <w:t>明确了</w:t>
            </w:r>
            <w:r>
              <w:rPr>
                <w:rFonts w:ascii="Times New Roman" w:hAnsi="Times New Roman" w:eastAsia="宋体"/>
                <w:color w:val="auto"/>
                <w:sz w:val="24"/>
                <w:szCs w:val="24"/>
              </w:rPr>
              <w:t>相应的污染事故处置措施、事故上报流程及时恢复流程等。成立了环保组织机构，将环保工作纳入日常生产当中，在生产全过程建立了环境管理制度。</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72" w:firstLineChars="196"/>
              <w:textAlignment w:val="auto"/>
              <w:outlineLvl w:val="9"/>
              <w:rPr>
                <w:rFonts w:hint="eastAsia" w:ascii="宋体" w:hAnsi="宋体"/>
                <w:b/>
                <w:bCs/>
                <w:sz w:val="24"/>
              </w:rPr>
            </w:pPr>
            <w:r>
              <w:rPr>
                <w:rFonts w:hint="eastAsia" w:ascii="Times New Roman" w:hAnsi="Times New Roman"/>
                <w:b/>
                <w:bCs/>
                <w:sz w:val="24"/>
                <w:szCs w:val="24"/>
                <w:lang w:eastAsia="zh-CN"/>
              </w:rPr>
              <w:t>建议</w:t>
            </w:r>
          </w:p>
          <w:p>
            <w:pPr>
              <w:pStyle w:val="15"/>
              <w:spacing w:line="360" w:lineRule="auto"/>
              <w:ind w:firstLine="560"/>
              <w:rPr>
                <w:snapToGrid/>
                <w:color w:val="000000"/>
                <w:kern w:val="2"/>
                <w:sz w:val="24"/>
                <w:szCs w:val="24"/>
              </w:rPr>
            </w:pPr>
            <w:r>
              <w:rPr>
                <w:snapToGrid/>
                <w:color w:val="000000"/>
                <w:kern w:val="2"/>
                <w:sz w:val="24"/>
                <w:szCs w:val="24"/>
              </w:rPr>
              <w:t>（1）</w:t>
            </w:r>
            <w:r>
              <w:rPr>
                <w:rFonts w:hint="eastAsia"/>
                <w:snapToGrid/>
                <w:color w:val="000000"/>
                <w:kern w:val="2"/>
                <w:sz w:val="24"/>
                <w:szCs w:val="24"/>
              </w:rPr>
              <w:t>加强对环保设施的管理、维护，确保环保设施正常运行，污染物长期稳定、达标排放。</w:t>
            </w:r>
          </w:p>
          <w:p>
            <w:pPr>
              <w:pStyle w:val="15"/>
              <w:spacing w:line="360" w:lineRule="auto"/>
              <w:ind w:firstLine="560"/>
              <w:rPr>
                <w:snapToGrid/>
                <w:color w:val="000000"/>
                <w:kern w:val="2"/>
                <w:sz w:val="24"/>
                <w:szCs w:val="24"/>
              </w:rPr>
            </w:pPr>
            <w:r>
              <w:rPr>
                <w:snapToGrid/>
                <w:color w:val="000000"/>
                <w:kern w:val="2"/>
                <w:sz w:val="24"/>
                <w:szCs w:val="24"/>
              </w:rPr>
              <w:t>（</w:t>
            </w:r>
            <w:r>
              <w:rPr>
                <w:rFonts w:hint="eastAsia"/>
                <w:snapToGrid/>
                <w:color w:val="000000"/>
                <w:kern w:val="2"/>
                <w:sz w:val="24"/>
                <w:szCs w:val="24"/>
              </w:rPr>
              <w:t>2</w:t>
            </w:r>
            <w:r>
              <w:rPr>
                <w:snapToGrid/>
                <w:color w:val="000000"/>
                <w:kern w:val="2"/>
                <w:sz w:val="24"/>
                <w:szCs w:val="24"/>
              </w:rPr>
              <w:t>）严格落实事故风险防范和应急措施，加强环境污染事故应急演练，提高应对突发性污染事故的能力，确保环境安全</w:t>
            </w:r>
            <w:r>
              <w:rPr>
                <w:rFonts w:hint="eastAsia"/>
                <w:snapToGrid/>
                <w:color w:val="000000"/>
                <w:kern w:val="2"/>
                <w:sz w:val="24"/>
                <w:szCs w:val="24"/>
              </w:rPr>
              <w:t>。</w:t>
            </w:r>
          </w:p>
          <w:p>
            <w:pPr>
              <w:pStyle w:val="15"/>
              <w:spacing w:line="360" w:lineRule="auto"/>
              <w:ind w:firstLine="560"/>
              <w:rPr>
                <w:color w:val="000000"/>
                <w:sz w:val="24"/>
                <w:szCs w:val="24"/>
              </w:rPr>
            </w:pPr>
            <w:r>
              <w:rPr>
                <w:snapToGrid/>
                <w:color w:val="000000"/>
                <w:kern w:val="2"/>
                <w:sz w:val="24"/>
                <w:szCs w:val="24"/>
              </w:rPr>
              <w:t>（</w:t>
            </w:r>
            <w:r>
              <w:rPr>
                <w:rFonts w:hint="eastAsia"/>
                <w:snapToGrid/>
                <w:color w:val="000000"/>
                <w:kern w:val="2"/>
                <w:sz w:val="24"/>
                <w:szCs w:val="24"/>
              </w:rPr>
              <w:t>3</w:t>
            </w:r>
            <w:r>
              <w:rPr>
                <w:snapToGrid/>
                <w:color w:val="000000"/>
                <w:kern w:val="2"/>
                <w:sz w:val="24"/>
                <w:szCs w:val="24"/>
              </w:rPr>
              <w:t>）</w:t>
            </w:r>
            <w:r>
              <w:rPr>
                <w:color w:val="000000"/>
                <w:sz w:val="24"/>
                <w:szCs w:val="24"/>
              </w:rPr>
              <w:t>继续做好固体废物的分类管理和处置，尤其要做好危险废物的暂存管理和委托处理。</w:t>
            </w:r>
          </w:p>
          <w:p>
            <w:pPr>
              <w:pStyle w:val="15"/>
              <w:spacing w:line="360" w:lineRule="auto"/>
              <w:ind w:firstLine="560"/>
              <w:rPr>
                <w:rFonts w:hint="eastAsia"/>
                <w:color w:val="000000"/>
                <w:sz w:val="24"/>
                <w:szCs w:val="24"/>
              </w:rPr>
            </w:pPr>
            <w:r>
              <w:rPr>
                <w:rFonts w:hint="eastAsia"/>
                <w:color w:val="000000"/>
                <w:sz w:val="24"/>
                <w:szCs w:val="24"/>
              </w:rPr>
              <w:t>（4）</w:t>
            </w:r>
            <w:r>
              <w:rPr>
                <w:rFonts w:hint="eastAsia"/>
                <w:color w:val="000000"/>
                <w:sz w:val="24"/>
                <w:szCs w:val="24"/>
                <w:lang w:eastAsia="zh-CN"/>
              </w:rPr>
              <w:t>继续</w:t>
            </w:r>
            <w:r>
              <w:rPr>
                <w:rFonts w:hint="eastAsia"/>
                <w:color w:val="000000"/>
                <w:sz w:val="24"/>
                <w:szCs w:val="24"/>
              </w:rPr>
              <w:t>做好废水和废气的排污口规范化。</w:t>
            </w:r>
          </w:p>
          <w:p>
            <w:pPr>
              <w:pStyle w:val="15"/>
              <w:spacing w:line="360" w:lineRule="auto"/>
              <w:ind w:firstLine="560"/>
              <w:rPr>
                <w:rFonts w:hint="eastAsia"/>
                <w:color w:val="000000"/>
                <w:sz w:val="24"/>
                <w:szCs w:val="24"/>
              </w:rPr>
            </w:pPr>
            <w:r>
              <w:rPr>
                <w:rFonts w:hint="eastAsia"/>
                <w:color w:val="000000"/>
                <w:sz w:val="24"/>
                <w:szCs w:val="24"/>
              </w:rPr>
              <w:t>（5）建议在危险物仓库和油类存储仓库修建收集沟和收集池，或者修建围堰托盘。</w:t>
            </w:r>
          </w:p>
          <w:p>
            <w:pPr>
              <w:spacing w:line="360" w:lineRule="auto"/>
              <w:ind w:firstLine="480" w:firstLineChars="200"/>
              <w:rPr>
                <w:rFonts w:hint="eastAsia"/>
                <w:color w:val="000000"/>
                <w:sz w:val="24"/>
                <w:szCs w:val="24"/>
              </w:rPr>
            </w:pPr>
            <w:r>
              <w:rPr>
                <w:rFonts w:hint="eastAsia"/>
                <w:color w:val="000000"/>
                <w:sz w:val="24"/>
                <w:szCs w:val="24"/>
              </w:rPr>
              <w:t>（6）若危险废物储存量太多，而四川中明环境治理有限公司因为自身原因不能及时运走处理，则</w:t>
            </w:r>
            <w:r>
              <w:rPr>
                <w:rFonts w:hint="eastAsia"/>
                <w:color w:val="000000"/>
                <w:sz w:val="24"/>
                <w:szCs w:val="24"/>
                <w:lang w:eastAsia="zh-CN"/>
              </w:rPr>
              <w:t>需</w:t>
            </w:r>
            <w:r>
              <w:rPr>
                <w:rFonts w:hint="eastAsia"/>
                <w:color w:val="000000"/>
                <w:sz w:val="24"/>
                <w:szCs w:val="24"/>
              </w:rPr>
              <w:t>多修建一个危废暂存间，用于存放危险废物，防止危险废物污染环境。</w:t>
            </w:r>
          </w:p>
          <w:p>
            <w:pPr>
              <w:spacing w:line="360" w:lineRule="auto"/>
              <w:ind w:firstLine="480" w:firstLineChars="200"/>
              <w:rPr>
                <w:rFonts w:hint="eastAsia"/>
                <w:color w:val="000000"/>
                <w:sz w:val="24"/>
                <w:szCs w:val="24"/>
                <w:lang w:eastAsia="zh-CN"/>
              </w:rPr>
            </w:pPr>
            <w:r>
              <w:rPr>
                <w:rFonts w:hint="eastAsia"/>
                <w:color w:val="000000"/>
                <w:sz w:val="24"/>
                <w:szCs w:val="24"/>
                <w:lang w:eastAsia="zh-CN"/>
              </w:rPr>
              <w:t>（</w:t>
            </w:r>
            <w:r>
              <w:rPr>
                <w:rFonts w:hint="eastAsia"/>
                <w:color w:val="000000"/>
                <w:sz w:val="24"/>
                <w:szCs w:val="24"/>
                <w:lang w:val="en-US" w:eastAsia="zh-CN"/>
              </w:rPr>
              <w:t>6</w:t>
            </w:r>
            <w:r>
              <w:rPr>
                <w:rFonts w:hint="eastAsia"/>
                <w:color w:val="000000"/>
                <w:sz w:val="24"/>
                <w:szCs w:val="24"/>
                <w:lang w:eastAsia="zh-CN"/>
              </w:rPr>
              <w:t>）目前该项目的调漆工序是在喷漆房旁进行调漆的，无封闭设施。需对调漆区设置隔离房或在喷漆房内进行调漆。</w:t>
            </w:r>
          </w:p>
          <w:p>
            <w:pPr>
              <w:ind w:firstLine="480" w:firstLineChars="200"/>
              <w:jc w:val="left"/>
              <w:rPr>
                <w:rFonts w:hint="eastAsia" w:ascii="仿宋_GB2312" w:eastAsia="仿宋_GB2312"/>
                <w:sz w:val="24"/>
              </w:rPr>
            </w:pPr>
          </w:p>
        </w:tc>
      </w:tr>
    </w:tbl>
    <w:p>
      <w:pPr>
        <w:snapToGrid w:val="0"/>
        <w:spacing w:after="156" w:afterLines="50"/>
        <w:jc w:val="center"/>
        <w:rPr>
          <w:rFonts w:hint="eastAsia" w:ascii="楷体_GB2312" w:eastAsia="楷体_GB2312"/>
          <w:b/>
          <w:sz w:val="30"/>
          <w:szCs w:val="30"/>
          <w:lang w:eastAsia="zh-CN"/>
        </w:rPr>
      </w:pPr>
      <w:r>
        <w:rPr>
          <w:rFonts w:hint="eastAsia" w:ascii="楷体_GB2312" w:eastAsia="楷体_GB2312"/>
          <w:b/>
          <w:sz w:val="30"/>
          <w:szCs w:val="30"/>
          <w:lang w:eastAsia="zh-CN"/>
        </w:rPr>
        <w:drawing>
          <wp:inline distT="0" distB="0" distL="114300" distR="114300">
            <wp:extent cx="5758815" cy="7678420"/>
            <wp:effectExtent l="0" t="0" r="13335" b="17780"/>
            <wp:docPr id="3" name="图片 3" descr="车桥审查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车桥审查意见"/>
                    <pic:cNvPicPr>
                      <a:picLocks noChangeAspect="1"/>
                    </pic:cNvPicPr>
                  </pic:nvPicPr>
                  <pic:blipFill>
                    <a:blip r:embed="rId4"/>
                    <a:stretch>
                      <a:fillRect/>
                    </a:stretch>
                  </pic:blipFill>
                  <pic:spPr>
                    <a:xfrm>
                      <a:off x="0" y="0"/>
                      <a:ext cx="5758815" cy="7678420"/>
                    </a:xfrm>
                    <a:prstGeom prst="rect">
                      <a:avLst/>
                    </a:prstGeom>
                  </pic:spPr>
                </pic:pic>
              </a:graphicData>
            </a:graphic>
          </wp:inline>
        </w:drawing>
      </w:r>
    </w:p>
    <w:p>
      <w:pPr>
        <w:snapToGrid w:val="0"/>
        <w:spacing w:after="156" w:afterLines="50"/>
        <w:jc w:val="both"/>
        <w:rPr>
          <w:rFonts w:hint="eastAsia" w:ascii="楷体_GB2312" w:eastAsia="楷体_GB2312"/>
          <w:b/>
          <w:sz w:val="30"/>
          <w:szCs w:val="30"/>
        </w:rPr>
      </w:pPr>
    </w:p>
    <w:p>
      <w:pPr>
        <w:snapToGrid w:val="0"/>
        <w:spacing w:after="156" w:afterLines="50" w:line="240" w:lineRule="auto"/>
        <w:jc w:val="center"/>
        <w:rPr>
          <w:rFonts w:hint="eastAsia" w:ascii="楷体_GB2312" w:eastAsia="楷体_GB2312"/>
          <w:b/>
          <w:sz w:val="30"/>
          <w:szCs w:val="30"/>
        </w:rPr>
      </w:pPr>
    </w:p>
    <w:p>
      <w:pPr>
        <w:snapToGrid w:val="0"/>
        <w:spacing w:after="156" w:afterLines="50" w:line="240" w:lineRule="auto"/>
        <w:jc w:val="center"/>
        <w:rPr>
          <w:rFonts w:hint="eastAsia" w:ascii="楷体_GB2312" w:eastAsia="楷体_GB2312"/>
          <w:b/>
          <w:sz w:val="30"/>
          <w:szCs w:val="30"/>
        </w:rPr>
        <w:sectPr>
          <w:pgSz w:w="11906" w:h="16838"/>
          <w:pgMar w:top="1417" w:right="1417" w:bottom="1417" w:left="1417" w:header="851" w:footer="992" w:gutter="0"/>
          <w:pgBorders>
            <w:top w:val="none" w:sz="0" w:space="0"/>
            <w:left w:val="none" w:sz="0" w:space="0"/>
            <w:bottom w:val="none" w:sz="0" w:space="0"/>
            <w:right w:val="none" w:sz="0" w:space="0"/>
          </w:pgBorders>
          <w:cols w:space="0" w:num="1"/>
          <w:rtlGutter w:val="0"/>
          <w:docGrid w:type="lines" w:linePitch="389" w:charSpace="0"/>
        </w:sectPr>
      </w:pPr>
      <w:r>
        <w:rPr>
          <w:rFonts w:hint="eastAsia" w:ascii="楷体_GB2312" w:eastAsia="楷体_GB2312"/>
          <w:b/>
          <w:sz w:val="30"/>
          <w:szCs w:val="30"/>
        </w:rPr>
        <w:br w:type="page"/>
      </w:r>
    </w:p>
    <w:p>
      <w:pPr>
        <w:rPr>
          <w:rFonts w:hint="eastAsia" w:eastAsiaTheme="minorEastAsia"/>
          <w:lang w:eastAsia="zh-CN"/>
        </w:rPr>
      </w:pPr>
      <w:bookmarkStart w:id="0" w:name="_GoBack"/>
      <w:bookmarkEnd w:id="0"/>
      <w:r>
        <w:rPr>
          <w:rFonts w:hint="eastAsia" w:eastAsiaTheme="minorEastAsia"/>
          <w:lang w:eastAsia="zh-CN"/>
        </w:rPr>
        <w:drawing>
          <wp:inline distT="0" distB="0" distL="114300" distR="114300">
            <wp:extent cx="5759450" cy="8228965"/>
            <wp:effectExtent l="0" t="0" r="12700" b="635"/>
            <wp:docPr id="2" name="图片 2" descr="车桥验收结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车桥验收结论"/>
                    <pic:cNvPicPr>
                      <a:picLocks noChangeAspect="1"/>
                    </pic:cNvPicPr>
                  </pic:nvPicPr>
                  <pic:blipFill>
                    <a:blip r:embed="rId5"/>
                    <a:stretch>
                      <a:fillRect/>
                    </a:stretch>
                  </pic:blipFill>
                  <pic:spPr>
                    <a:xfrm>
                      <a:off x="0" y="0"/>
                      <a:ext cx="5759450" cy="8228965"/>
                    </a:xfrm>
                    <a:prstGeom prst="rect">
                      <a:avLst/>
                    </a:prstGeom>
                  </pic:spPr>
                </pic:pic>
              </a:graphicData>
            </a:graphic>
          </wp:inline>
        </w:drawing>
      </w:r>
    </w:p>
    <w:sectPr>
      <w:pgSz w:w="11906" w:h="16838"/>
      <w:pgMar w:top="1417" w:right="1417" w:bottom="1417" w:left="1417" w:header="851" w:footer="992" w:gutter="0"/>
      <w:pgBorders>
        <w:top w:val="none" w:sz="0" w:space="0"/>
        <w:left w:val="none" w:sz="0" w:space="0"/>
        <w:bottom w:val="none" w:sz="0" w:space="0"/>
        <w:right w:val="none" w:sz="0" w:space="0"/>
      </w:pgBorders>
      <w:cols w:space="0" w:num="1"/>
      <w:rtlGutter w:val="0"/>
      <w:docGrid w:type="lines" w:linePitch="3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S">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SimSun-ExtB">
    <w:panose1 w:val="02010609060101010101"/>
    <w:charset w:val="86"/>
    <w:family w:val="auto"/>
    <w:pitch w:val="default"/>
    <w:sig w:usb0="00000001" w:usb1="02000000" w:usb2="00000000" w:usb3="00000000" w:csb0="00040001" w:csb1="00000000"/>
  </w:font>
  <w:font w:name="SO">
    <w:altName w:val="AMGDT"/>
    <w:panose1 w:val="00000000000000000000"/>
    <w:charset w:val="00"/>
    <w:family w:val="auto"/>
    <w:pitch w:val="default"/>
    <w:sig w:usb0="00000000" w:usb1="00000000" w:usb2="00000000" w:usb3="00000000" w:csb0="00000000" w:csb1="00000000"/>
  </w:font>
  <w:font w:name="SON">
    <w:altName w:val="AMGDT"/>
    <w:panose1 w:val="00000000000000000000"/>
    <w:charset w:val="00"/>
    <w:family w:val="auto"/>
    <w:pitch w:val="default"/>
    <w:sig w:usb0="00000000" w:usb1="00000000" w:usb2="00000000" w:usb3="00000000" w:csb0="00000000" w:csb1="00000000"/>
  </w:font>
  <w:font w:name="SONG">
    <w:altName w:val="AMGDT"/>
    <w:panose1 w:val="00000000000000000000"/>
    <w:charset w:val="00"/>
    <w:family w:val="auto"/>
    <w:pitch w:val="default"/>
    <w:sig w:usb0="00000000" w:usb1="00000000" w:usb2="00000000" w:usb3="00000000" w:csb0="00000000" w:csb1="00000000"/>
  </w:font>
  <w:font w:name="SONGT">
    <w:altName w:val="AMGDT"/>
    <w:panose1 w:val="00000000000000000000"/>
    <w:charset w:val="00"/>
    <w:family w:val="auto"/>
    <w:pitch w:val="default"/>
    <w:sig w:usb0="00000000" w:usb1="00000000" w:usb2="00000000" w:usb3="00000000" w:csb0="00000000" w:csb1="00000000"/>
  </w:font>
  <w:font w:name="SONGTI">
    <w:altName w:val="AMGD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
    <w:altName w:val="宋体"/>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Calibri">
    <w:panose1 w:val="020F0502020204030204"/>
    <w:charset w:val="01"/>
    <w:family w:val="auto"/>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楷体">
    <w:altName w:val="宋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504020202030204"/>
    <w:charset w:val="00"/>
    <w:family w:val="swiss"/>
    <w:pitch w:val="default"/>
    <w:sig w:usb0="00000000" w:usb1="00000000" w:usb2="00000000" w:usb3="00000000" w:csb0="00000093" w:csb1="00000000"/>
  </w:font>
  <w:font w:name="方正仿宋_GBK">
    <w:altName w:val="微软雅黑"/>
    <w:panose1 w:val="03000509000000000000"/>
    <w:charset w:val="86"/>
    <w:family w:val="script"/>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仿宋体">
    <w:altName w:val="宋体"/>
    <w:panose1 w:val="02010600030101010101"/>
    <w:charset w:val="86"/>
    <w:family w:val="roman"/>
    <w:pitch w:val="default"/>
    <w:sig w:usb0="00000000" w:usb1="00000000" w:usb2="00000010" w:usb3="00000000" w:csb0="0004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40001" w:csb1="00000000"/>
  </w:font>
  <w:font w:name="Garamond">
    <w:panose1 w:val="02020404030301010803"/>
    <w:charset w:val="00"/>
    <w:family w:val="roman"/>
    <w:pitch w:val="default"/>
    <w:sig w:usb0="00000287" w:usb1="00000000" w:usb2="00000000" w:usb3="00000000" w:csb0="0000009F" w:csb1="DFD70000"/>
  </w:font>
  <w:font w:name="Monospace">
    <w:altName w:val="宋体"/>
    <w:panose1 w:val="00000000000000000000"/>
    <w:charset w:val="00"/>
    <w:family w:val="auto"/>
    <w:pitch w:val="default"/>
    <w:sig w:usb0="00000000" w:usb1="00000000" w:usb2="00000000" w:usb3="00000000" w:csb0="00040001" w:csb1="00000000"/>
  </w:font>
  <w:font w:name="华文新魏">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 w:name="Technic">
    <w:panose1 w:val="000004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华文琥珀">
    <w:panose1 w:val="02010800040101010101"/>
    <w:charset w:val="86"/>
    <w:family w:val="auto"/>
    <w:pitch w:val="default"/>
    <w:sig w:usb0="00000001" w:usb1="080F0000" w:usb2="00000000" w:usb3="00000000" w:csb0="00040000" w:csb1="00000000"/>
  </w:font>
  <w:font w:name="是那个题">
    <w:altName w:val="AMGDT"/>
    <w:panose1 w:val="00000000000000000000"/>
    <w:charset w:val="00"/>
    <w:family w:val="auto"/>
    <w:pitch w:val="default"/>
    <w:sig w:usb0="00000000" w:usb1="00000000" w:usb2="00000000" w:usb3="00000000" w:csb0="00000000" w:csb1="00000000"/>
  </w:font>
  <w:font w:name="是那个">
    <w:altName w:val="AMGDT"/>
    <w:panose1 w:val="00000000000000000000"/>
    <w:charset w:val="00"/>
    <w:family w:val="auto"/>
    <w:pitch w:val="default"/>
    <w:sig w:usb0="00000000" w:usb1="00000000" w:usb2="00000000" w:usb3="00000000" w:csb0="00000000" w:csb1="00000000"/>
  </w:font>
  <w:font w:name="是那">
    <w:altName w:val="AMGDT"/>
    <w:panose1 w:val="00000000000000000000"/>
    <w:charset w:val="00"/>
    <w:family w:val="auto"/>
    <w:pitch w:val="default"/>
    <w:sig w:usb0="00000000" w:usb1="00000000" w:usb2="00000000" w:usb3="00000000" w:csb0="00000000" w:csb1="00000000"/>
  </w:font>
  <w:font w:name="是">
    <w:altName w:val="AMGDT"/>
    <w:panose1 w:val="00000000000000000000"/>
    <w:charset w:val="00"/>
    <w:family w:val="auto"/>
    <w:pitch w:val="default"/>
    <w:sig w:usb0="00000000" w:usb1="00000000" w:usb2="00000000" w:usb3="00000000" w:csb0="00000000" w:csb1="00000000"/>
  </w:font>
  <w:font w:name="zuoyeFont_mathFont">
    <w:altName w:val="微软雅黑"/>
    <w:panose1 w:val="00000000000000000000"/>
    <w:charset w:val="00"/>
    <w:family w:val="auto"/>
    <w:pitch w:val="default"/>
    <w:sig w:usb0="00000000" w:usb1="00000000" w:usb2="00000000" w:usb3="00000000" w:csb0="00040001" w:csb1="00000000"/>
  </w:font>
  <w:font w:name="PingFang SC">
    <w:altName w:val="AMGD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方正黑体简体">
    <w:altName w:val="宋体"/>
    <w:panose1 w:val="02010601030101010101"/>
    <w:charset w:val="86"/>
    <w:family w:val="auto"/>
    <w:pitch w:val="default"/>
    <w:sig w:usb0="00000000" w:usb1="00000000" w:usb2="00000010" w:usb3="00000000" w:csb0="00040000" w:csb1="00000000"/>
  </w:font>
  <w:font w:name="MHei-Medium">
    <w:altName w:val="MingLiU"/>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TimesNewRoman">
    <w:altName w:val="宋体"/>
    <w:panose1 w:val="00000000000000000000"/>
    <w:charset w:val="00"/>
    <w:family w:val="roman"/>
    <w:pitch w:val="default"/>
    <w:sig w:usb0="00000000" w:usb1="00000000" w:usb2="00000010" w:usb3="00000000" w:csb0="00040001" w:csb1="00000000"/>
  </w:font>
  <w:font w:name="华文行楷">
    <w:panose1 w:val="02010800040101010101"/>
    <w:charset w:val="86"/>
    <w:family w:val="auto"/>
    <w:pitch w:val="default"/>
    <w:sig w:usb0="00000001" w:usb1="080F0000" w:usb2="00000000" w:usb3="00000000" w:csb0="00040000" w:csb1="00000000"/>
  </w:font>
  <w:font w:name="Gulim">
    <w:panose1 w:val="020B0600000101010101"/>
    <w:charset w:val="81"/>
    <w:family w:val="auto"/>
    <w:pitch w:val="default"/>
    <w:sig w:usb0="B00002AF" w:usb1="69D77CFB" w:usb2="00000030" w:usb3="00000000" w:csb0="4008009F" w:csb1="DFD70000"/>
  </w:font>
  <w:font w:name="華康中楷體">
    <w:altName w:val="PMingLiU"/>
    <w:panose1 w:val="02010609000101010101"/>
    <w:charset w:val="88"/>
    <w:family w:val="modern"/>
    <w:pitch w:val="default"/>
    <w:sig w:usb0="00000000" w:usb1="00000000" w:usb2="00000010" w:usb3="00000000" w:csb0="00100000" w:csb1="00000000"/>
  </w:font>
  <w:font w:name="Arial Narrow">
    <w:panose1 w:val="020B0606020202030204"/>
    <w:charset w:val="00"/>
    <w:family w:val="swiss"/>
    <w:pitch w:val="default"/>
    <w:sig w:usb0="00000287" w:usb1="000008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DFKai-SB">
    <w:panose1 w:val="03000509000000000000"/>
    <w:charset w:val="88"/>
    <w:family w:val="script"/>
    <w:pitch w:val="default"/>
    <w:sig w:usb0="00000003" w:usb1="082E0000" w:usb2="00000016" w:usb3="00000000" w:csb0="00100001" w:csb1="00000000"/>
  </w:font>
  <w:font w:name="華康粗黑體">
    <w:altName w:val="PMingLiU"/>
    <w:panose1 w:val="02010609000101010101"/>
    <w:charset w:val="88"/>
    <w:family w:val="modern"/>
    <w:pitch w:val="default"/>
    <w:sig w:usb0="00000000" w:usb1="00000000" w:usb2="00000010" w:usb3="00000000" w:csb0="00100000" w:csb1="00000000"/>
  </w:font>
  <w:font w:name="Arial Black">
    <w:panose1 w:val="020B0A04020102020204"/>
    <w:charset w:val="00"/>
    <w:family w:val="swiss"/>
    <w:pitch w:val="default"/>
    <w:sig w:usb0="00000287"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華康中明體">
    <w:altName w:val="PMingLiU"/>
    <w:panose1 w:val="02010609010101010101"/>
    <w:charset w:val="88"/>
    <w:family w:val="modern"/>
    <w:pitch w:val="default"/>
    <w:sig w:usb0="00000000" w:usb1="00000000" w:usb2="00000010" w:usb3="00000000" w:csb0="00100000" w:csb1="00000000"/>
  </w:font>
  <w:font w:name="PMingLiU">
    <w:panose1 w:val="02020500000000000000"/>
    <w:charset w:val="88"/>
    <w:family w:val="roman"/>
    <w:pitch w:val="default"/>
    <w:sig w:usb0="A00002FF" w:usb1="28CFFCFA" w:usb2="00000016" w:usb3="00000000" w:csb0="00100001" w:csb1="00000000"/>
  </w:font>
  <w:font w:name="CommercialPi BT">
    <w:panose1 w:val="05020102010206080802"/>
    <w:charset w:val="02"/>
    <w:family w:val="roman"/>
    <w:pitch w:val="default"/>
    <w:sig w:usb0="00000000" w:usb1="00000000" w:usb2="00000000" w:usb3="00000000" w:csb0="00000000" w:csb1="00000000"/>
  </w:font>
  <w:font w:name="方正宋三简体">
    <w:altName w:val="宋体"/>
    <w:panose1 w:val="02010601030101010101"/>
    <w:charset w:val="86"/>
    <w:family w:val="auto"/>
    <w:pitch w:val="default"/>
    <w:sig w:usb0="00000000" w:usb1="00000000" w:usb2="00000010" w:usb3="00000000" w:csb0="00040000" w:csb1="00000000"/>
  </w:font>
  <w:font w:name="_x001A_">
    <w:altName w:val="Times New Roman"/>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E00002FF" w:usb1="6AC7FDFB" w:usb2="00000012" w:usb3="00000000" w:csb0="4002009F" w:csb1="DFD70000"/>
  </w:font>
  <w:font w:name="长城楷体">
    <w:altName w:val="黑体"/>
    <w:panose1 w:val="00000000000000000000"/>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长城仿宋体">
    <w:altName w:val="宋体"/>
    <w:panose1 w:val="0201060900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MS Sans Serif">
    <w:altName w:val="Arial"/>
    <w:panose1 w:val="00000000000000000000"/>
    <w:charset w:val="00"/>
    <w:family w:val="auto"/>
    <w:pitch w:val="default"/>
    <w:sig w:usb0="00000000" w:usb1="00000000" w:usb2="00000000" w:usb3="00000000" w:csb0="00000001" w:csb1="00000000"/>
  </w:font>
  <w:font w:name="Sim Sun+ 2">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644767"/>
    <w:multiLevelType w:val="singleLevel"/>
    <w:tmpl w:val="59644767"/>
    <w:lvl w:ilvl="0" w:tentative="0">
      <w:start w:val="1"/>
      <w:numFmt w:val="decimal"/>
      <w:suff w:val="nothing"/>
      <w:lvlText w:val="（%1）"/>
      <w:lvlJc w:val="left"/>
    </w:lvl>
  </w:abstractNum>
  <w:abstractNum w:abstractNumId="1">
    <w:nsid w:val="59EF11A2"/>
    <w:multiLevelType w:val="singleLevel"/>
    <w:tmpl w:val="59EF11A2"/>
    <w:lvl w:ilvl="0" w:tentative="0">
      <w:start w:val="1"/>
      <w:numFmt w:val="chineseCounting"/>
      <w:suff w:val="nothing"/>
      <w:lvlText w:val="%1、"/>
      <w:lvlJc w:val="left"/>
    </w:lvl>
  </w:abstractNum>
  <w:abstractNum w:abstractNumId="2">
    <w:nsid w:val="59EF2C37"/>
    <w:multiLevelType w:val="singleLevel"/>
    <w:tmpl w:val="59EF2C37"/>
    <w:lvl w:ilvl="0" w:tentative="0">
      <w:start w:val="4"/>
      <w:numFmt w:val="chineseCounting"/>
      <w:suff w:val="nothing"/>
      <w:lvlText w:val="%1、"/>
      <w:lvlJc w:val="left"/>
    </w:lvl>
  </w:abstractNum>
  <w:abstractNum w:abstractNumId="3">
    <w:nsid w:val="59F6EF04"/>
    <w:multiLevelType w:val="singleLevel"/>
    <w:tmpl w:val="59F6EF04"/>
    <w:lvl w:ilvl="0" w:tentative="0">
      <w:start w:val="2"/>
      <w:numFmt w:val="decimal"/>
      <w:suff w:val="nothing"/>
      <w:lvlText w:val="%1、"/>
      <w:lvlJc w:val="left"/>
    </w:lvl>
  </w:abstractNum>
  <w:abstractNum w:abstractNumId="4">
    <w:nsid w:val="5A0047F3"/>
    <w:multiLevelType w:val="singleLevel"/>
    <w:tmpl w:val="5A0047F3"/>
    <w:lvl w:ilvl="0" w:tentative="0">
      <w:start w:val="2"/>
      <w:numFmt w:val="decimal"/>
      <w:suff w:val="nothing"/>
      <w:lvlText w:val="（%1）"/>
      <w:lvlJc w:val="left"/>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9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803A38"/>
    <w:rsid w:val="02B30793"/>
    <w:rsid w:val="02D01BC1"/>
    <w:rsid w:val="05821FA1"/>
    <w:rsid w:val="05B374C7"/>
    <w:rsid w:val="072F41E8"/>
    <w:rsid w:val="07C06C0F"/>
    <w:rsid w:val="07D94429"/>
    <w:rsid w:val="08BA499D"/>
    <w:rsid w:val="091E52F7"/>
    <w:rsid w:val="09E77B91"/>
    <w:rsid w:val="0A9B064A"/>
    <w:rsid w:val="0BF94408"/>
    <w:rsid w:val="0D624405"/>
    <w:rsid w:val="0E2F3358"/>
    <w:rsid w:val="0FB917D9"/>
    <w:rsid w:val="10CE53B2"/>
    <w:rsid w:val="144747EF"/>
    <w:rsid w:val="14AF2F6F"/>
    <w:rsid w:val="15273B53"/>
    <w:rsid w:val="176C2537"/>
    <w:rsid w:val="17D622BD"/>
    <w:rsid w:val="181642FD"/>
    <w:rsid w:val="1A644F8E"/>
    <w:rsid w:val="1B010FE1"/>
    <w:rsid w:val="1BEF7933"/>
    <w:rsid w:val="1CF52B25"/>
    <w:rsid w:val="1D370F4E"/>
    <w:rsid w:val="1D3F404A"/>
    <w:rsid w:val="1E8945D6"/>
    <w:rsid w:val="1F874341"/>
    <w:rsid w:val="203E4756"/>
    <w:rsid w:val="210429BA"/>
    <w:rsid w:val="222831DD"/>
    <w:rsid w:val="223577C9"/>
    <w:rsid w:val="24E1000C"/>
    <w:rsid w:val="260B3F8A"/>
    <w:rsid w:val="262D4127"/>
    <w:rsid w:val="2753660A"/>
    <w:rsid w:val="28174397"/>
    <w:rsid w:val="28922313"/>
    <w:rsid w:val="29AB0E6C"/>
    <w:rsid w:val="29EB540C"/>
    <w:rsid w:val="2C4118FE"/>
    <w:rsid w:val="2C4A6D6A"/>
    <w:rsid w:val="2C5138C4"/>
    <w:rsid w:val="2EFF54DE"/>
    <w:rsid w:val="30537AFF"/>
    <w:rsid w:val="30B35F7C"/>
    <w:rsid w:val="316A5705"/>
    <w:rsid w:val="32321886"/>
    <w:rsid w:val="334C1259"/>
    <w:rsid w:val="34CE49C4"/>
    <w:rsid w:val="36364E76"/>
    <w:rsid w:val="36F63C57"/>
    <w:rsid w:val="37387EDF"/>
    <w:rsid w:val="38285FA2"/>
    <w:rsid w:val="3A08048E"/>
    <w:rsid w:val="3A367BA1"/>
    <w:rsid w:val="3A4F7C8F"/>
    <w:rsid w:val="3A51521A"/>
    <w:rsid w:val="3A705CCA"/>
    <w:rsid w:val="3B350A2A"/>
    <w:rsid w:val="3B52223D"/>
    <w:rsid w:val="3C6132A0"/>
    <w:rsid w:val="3D1767D7"/>
    <w:rsid w:val="3E8D7D71"/>
    <w:rsid w:val="40F16AC0"/>
    <w:rsid w:val="41A7324E"/>
    <w:rsid w:val="428136C2"/>
    <w:rsid w:val="42986C31"/>
    <w:rsid w:val="43FD1DC8"/>
    <w:rsid w:val="442A37D3"/>
    <w:rsid w:val="446F79BD"/>
    <w:rsid w:val="46B176CC"/>
    <w:rsid w:val="47D3103A"/>
    <w:rsid w:val="49104617"/>
    <w:rsid w:val="49F12DF2"/>
    <w:rsid w:val="4B9C22CF"/>
    <w:rsid w:val="4C2A2D35"/>
    <w:rsid w:val="4C4010EF"/>
    <w:rsid w:val="4EAE3A2D"/>
    <w:rsid w:val="4EBF1245"/>
    <w:rsid w:val="4F0838FE"/>
    <w:rsid w:val="51263205"/>
    <w:rsid w:val="517948B5"/>
    <w:rsid w:val="53983098"/>
    <w:rsid w:val="543948B3"/>
    <w:rsid w:val="54F264DC"/>
    <w:rsid w:val="551B222A"/>
    <w:rsid w:val="55BA5D66"/>
    <w:rsid w:val="567E33C7"/>
    <w:rsid w:val="57552A2A"/>
    <w:rsid w:val="575C09F5"/>
    <w:rsid w:val="5862718B"/>
    <w:rsid w:val="58AF6A1D"/>
    <w:rsid w:val="5CA86161"/>
    <w:rsid w:val="5F735712"/>
    <w:rsid w:val="619B181F"/>
    <w:rsid w:val="63DD2B45"/>
    <w:rsid w:val="64585027"/>
    <w:rsid w:val="66912170"/>
    <w:rsid w:val="68121986"/>
    <w:rsid w:val="68D720C8"/>
    <w:rsid w:val="69C70D99"/>
    <w:rsid w:val="6AB4123B"/>
    <w:rsid w:val="6B4145A9"/>
    <w:rsid w:val="6B8E2D46"/>
    <w:rsid w:val="6BB56708"/>
    <w:rsid w:val="6C0E2841"/>
    <w:rsid w:val="6CAB12C7"/>
    <w:rsid w:val="6E151B27"/>
    <w:rsid w:val="6EBE0695"/>
    <w:rsid w:val="6EE00EA5"/>
    <w:rsid w:val="6F2B5CA1"/>
    <w:rsid w:val="6F3271C2"/>
    <w:rsid w:val="70F0648A"/>
    <w:rsid w:val="73E91D51"/>
    <w:rsid w:val="758F1242"/>
    <w:rsid w:val="75B7768A"/>
    <w:rsid w:val="768D49B4"/>
    <w:rsid w:val="774A3988"/>
    <w:rsid w:val="78B24219"/>
    <w:rsid w:val="7A17211E"/>
    <w:rsid w:val="7AAA0F11"/>
    <w:rsid w:val="7ACB4D08"/>
    <w:rsid w:val="7C0B0689"/>
    <w:rsid w:val="7CE42F8F"/>
    <w:rsid w:val="7D0E2D2E"/>
    <w:rsid w:val="7DDF3248"/>
    <w:rsid w:val="7E6950FF"/>
    <w:rsid w:val="7E8026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Ascii" w:hAnsiTheme="minorAscii" w:eastAsiaTheme="minorEastAsia" w:cstheme="minorBidi"/>
      <w:kern w:val="2"/>
      <w:sz w:val="28"/>
      <w:szCs w:val="24"/>
      <w:lang w:val="en-US" w:eastAsia="zh-CN" w:bidi="ar-SA"/>
    </w:rPr>
  </w:style>
  <w:style w:type="paragraph" w:styleId="2">
    <w:name w:val="heading 1"/>
    <w:basedOn w:val="1"/>
    <w:next w:val="1"/>
    <w:link w:val="13"/>
    <w:qFormat/>
    <w:uiPriority w:val="0"/>
    <w:pPr>
      <w:keepNext/>
      <w:keepLines/>
      <w:spacing w:line="360" w:lineRule="auto"/>
      <w:jc w:val="left"/>
      <w:outlineLvl w:val="0"/>
    </w:pPr>
    <w:rPr>
      <w:rFonts w:ascii="Times New Roman" w:hAnsi="Times New Roman" w:eastAsia="宋体"/>
      <w:b/>
      <w:bCs/>
      <w:kern w:val="44"/>
      <w:sz w:val="32"/>
      <w:szCs w:val="44"/>
    </w:rPr>
  </w:style>
  <w:style w:type="paragraph" w:styleId="3">
    <w:name w:val="heading 2"/>
    <w:basedOn w:val="1"/>
    <w:next w:val="1"/>
    <w:unhideWhenUsed/>
    <w:qFormat/>
    <w:uiPriority w:val="0"/>
    <w:pPr>
      <w:keepNext/>
      <w:keepLines/>
      <w:spacing w:line="360" w:lineRule="auto"/>
      <w:jc w:val="left"/>
      <w:outlineLvl w:val="1"/>
    </w:pPr>
    <w:rPr>
      <w:rFonts w:ascii="Times New Roman" w:hAnsi="Times New Roman" w:eastAsia="宋体"/>
      <w:b/>
      <w:bCs/>
      <w:sz w:val="28"/>
      <w:szCs w:val="32"/>
    </w:rPr>
  </w:style>
  <w:style w:type="paragraph" w:styleId="4">
    <w:name w:val="heading 3"/>
    <w:basedOn w:val="1"/>
    <w:next w:val="1"/>
    <w:link w:val="12"/>
    <w:unhideWhenUsed/>
    <w:qFormat/>
    <w:uiPriority w:val="0"/>
    <w:pPr>
      <w:keepNext/>
      <w:keepLines/>
      <w:spacing w:line="360" w:lineRule="auto"/>
      <w:jc w:val="left"/>
      <w:outlineLvl w:val="2"/>
    </w:pPr>
    <w:rPr>
      <w:rFonts w:ascii="Times New Roman" w:hAnsi="Times New Roman" w:eastAsia="宋体"/>
      <w:b/>
      <w:bCs/>
      <w:sz w:val="28"/>
      <w:szCs w:val="32"/>
    </w:rPr>
  </w:style>
  <w:style w:type="paragraph" w:styleId="5">
    <w:name w:val="heading 4"/>
    <w:basedOn w:val="6"/>
    <w:next w:val="1"/>
    <w:unhideWhenUsed/>
    <w:qFormat/>
    <w:uiPriority w:val="0"/>
    <w:pPr>
      <w:keepNext/>
      <w:keepLines/>
      <w:spacing w:beforeLines="0" w:beforeAutospacing="0" w:afterLines="0" w:afterAutospacing="0" w:line="360" w:lineRule="auto"/>
      <w:outlineLvl w:val="3"/>
    </w:pPr>
    <w:rPr>
      <w:rFonts w:ascii="Times New Roman" w:hAnsi="Times New Roman" w:eastAsia="宋体"/>
      <w:b/>
      <w:sz w:val="28"/>
    </w:rPr>
  </w:style>
  <w:style w:type="character" w:default="1" w:styleId="9">
    <w:name w:val="Default Paragraph Font"/>
    <w:unhideWhenUsed/>
    <w:qFormat/>
    <w:uiPriority w:val="1"/>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6">
    <w:name w:val="toa heading"/>
    <w:basedOn w:val="1"/>
    <w:next w:val="1"/>
    <w:qFormat/>
    <w:uiPriority w:val="0"/>
    <w:pPr>
      <w:spacing w:before="120" w:beforeLines="0" w:beforeAutospacing="0"/>
    </w:pPr>
    <w:rPr>
      <w:rFonts w:ascii="Arial" w:hAnsi="Arial"/>
      <w:sz w:val="24"/>
    </w:rPr>
  </w:style>
  <w:style w:type="paragraph" w:styleId="7">
    <w:name w:val="Body Text"/>
    <w:basedOn w:val="1"/>
    <w:qFormat/>
    <w:uiPriority w:val="0"/>
    <w:pPr>
      <w:keepNext w:val="0"/>
      <w:keepLines w:val="0"/>
      <w:widowControl/>
      <w:suppressLineNumbers w:val="0"/>
      <w:spacing w:before="47" w:beforeAutospacing="0" w:after="0" w:afterAutospacing="0"/>
      <w:ind w:left="111" w:right="0"/>
      <w:jc w:val="left"/>
    </w:pPr>
    <w:rPr>
      <w:rFonts w:hint="eastAsia" w:ascii="宋体" w:hAnsi="宋体" w:eastAsia="宋体" w:cs="宋体"/>
      <w:kern w:val="0"/>
      <w:sz w:val="30"/>
      <w:szCs w:val="30"/>
      <w:lang w:val="en-US" w:eastAsia="zh-CN" w:bidi="ar"/>
    </w:rPr>
  </w:style>
  <w:style w:type="paragraph" w:styleId="8">
    <w:name w:val="toc 3"/>
    <w:basedOn w:val="1"/>
    <w:next w:val="1"/>
    <w:qFormat/>
    <w:uiPriority w:val="0"/>
    <w:pPr>
      <w:spacing w:line="360" w:lineRule="auto"/>
      <w:ind w:left="0" w:leftChars="0"/>
      <w:jc w:val="left"/>
      <w:outlineLvl w:val="3"/>
    </w:pPr>
    <w:rPr>
      <w:rFonts w:ascii="Times New Roman" w:hAnsi="Times New Roman" w:eastAsia="宋体"/>
      <w:b/>
      <w:sz w:val="2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标题 3 Char"/>
    <w:basedOn w:val="9"/>
    <w:link w:val="4"/>
    <w:semiHidden/>
    <w:qFormat/>
    <w:uiPriority w:val="9"/>
    <w:rPr>
      <w:rFonts w:ascii="Times New Roman" w:hAnsi="Times New Roman" w:eastAsia="宋体"/>
      <w:b/>
      <w:bCs/>
      <w:sz w:val="28"/>
      <w:szCs w:val="32"/>
    </w:rPr>
  </w:style>
  <w:style w:type="character" w:customStyle="1" w:styleId="13">
    <w:name w:val="标题 1 Char"/>
    <w:link w:val="2"/>
    <w:qFormat/>
    <w:uiPriority w:val="0"/>
    <w:rPr>
      <w:rFonts w:ascii="Times New Roman" w:hAnsi="Times New Roman" w:eastAsia="宋体"/>
      <w:b/>
      <w:bCs/>
      <w:kern w:val="44"/>
      <w:sz w:val="44"/>
      <w:szCs w:val="44"/>
    </w:rPr>
  </w:style>
  <w:style w:type="paragraph" w:customStyle="1" w:styleId="14">
    <w:name w:val="Body"/>
    <w:basedOn w:val="1"/>
    <w:qFormat/>
    <w:uiPriority w:val="1"/>
    <w:rPr>
      <w:rFonts w:ascii="宋体" w:hAnsi="宋体" w:eastAsia="宋体"/>
      <w:sz w:val="24"/>
      <w:szCs w:val="24"/>
    </w:rPr>
  </w:style>
  <w:style w:type="paragraph" w:customStyle="1" w:styleId="15">
    <w:name w:val="我的正文"/>
    <w:basedOn w:val="1"/>
    <w:qFormat/>
    <w:uiPriority w:val="99"/>
    <w:pPr>
      <w:ind w:firstLine="200" w:firstLineChars="200"/>
    </w:pPr>
    <w:rPr>
      <w:snapToGrid w:val="0"/>
      <w:kern w:val="0"/>
      <w:sz w:val="28"/>
    </w:rPr>
  </w:style>
  <w:style w:type="paragraph" w:customStyle="1" w:styleId="16">
    <w:name w:val="我的标题3"/>
    <w:basedOn w:val="1"/>
    <w:next w:val="15"/>
    <w:qFormat/>
    <w:uiPriority w:val="0"/>
    <w:rPr>
      <w:b/>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w</cp:lastModifiedBy>
  <dcterms:modified xsi:type="dcterms:W3CDTF">2017-11-15T08:52:40Z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